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spacing w:before="0" w:after="220" w:line="240" w:lineRule="auto"/>
        <w:rPr>
          <w:color w:val="auto"/>
        </w:rPr>
      </w:pPr>
      <w:bookmarkStart w:id="0" w:name="bookmark0"/>
      <w:bookmarkStart w:id="1" w:name="bookmark2"/>
      <w:bookmarkStart w:id="2" w:name="bookmark1"/>
      <w:bookmarkStart w:id="751" w:name="_GoBack"/>
      <w:bookmarkEnd w:id="751"/>
      <w:r>
        <w:rPr>
          <w:color w:val="auto"/>
        </w:rPr>
        <w:t>学校概况</w:t>
      </w:r>
      <w:bookmarkEnd w:id="0"/>
      <w:bookmarkEnd w:id="1"/>
      <w:bookmarkEnd w:id="2"/>
    </w:p>
    <w:p>
      <w:pPr>
        <w:pStyle w:val="14"/>
        <w:spacing w:line="400" w:lineRule="exact"/>
        <w:ind w:firstLine="420"/>
        <w:jc w:val="both"/>
        <w:rPr>
          <w:color w:val="auto"/>
          <w:spacing w:val="-8"/>
        </w:rPr>
      </w:pPr>
      <w:r>
        <w:rPr>
          <w:rFonts w:hint="eastAsia"/>
          <w:color w:val="auto"/>
          <w:spacing w:val="-8"/>
        </w:rPr>
        <w:t>南京航空航天大学金城学院始建于1999年，是南京航空航天大学联合社会力量创办的独立学院。学校位于江苏省南京市，现有全日制在校本科生16000余人，校园占地面积近千亩，建筑总面积30余万平方米。拥有学术交流中心、科研实验中心、计算机中心、艺术中心及现代化运动场等教学生活设施。智能化图书馆能同时容纳6000人阅读和学习。</w:t>
      </w:r>
    </w:p>
    <w:p>
      <w:pPr>
        <w:pStyle w:val="14"/>
        <w:spacing w:line="400" w:lineRule="exact"/>
        <w:ind w:firstLine="420"/>
        <w:jc w:val="both"/>
        <w:rPr>
          <w:color w:val="auto"/>
          <w:spacing w:val="-8"/>
        </w:rPr>
      </w:pPr>
      <w:r>
        <w:rPr>
          <w:rFonts w:hint="eastAsia"/>
          <w:color w:val="auto"/>
          <w:spacing w:val="-8"/>
        </w:rPr>
        <w:t>学校依托南京航空航天大学优质师资和专业特色，秉承母体学校先进的办学理念和管理经验，聘请国内知名高校教授为学科专业带头人，同时聘请诺贝尔经济学奖获得者埃里克·马斯金等国际知名学者为专业导师，打造了一支结构合理的专兼职优秀教师队伍。其中，专职教师中拥有高级职称99人，博士生导师10余人，一批中青年教师脱颖而出，在第六届全国高等学校教师图学与机械课程示范教学与创新教学法观摩竞赛中获一等奖2项、二等奖2项，在第三届全国金工/工训青年教师微课教学评优中获得特优1项、优秀1项。</w:t>
      </w:r>
    </w:p>
    <w:p>
      <w:pPr>
        <w:pStyle w:val="14"/>
        <w:spacing w:line="400" w:lineRule="exact"/>
        <w:ind w:firstLine="420"/>
        <w:jc w:val="both"/>
        <w:rPr>
          <w:color w:val="auto"/>
          <w:spacing w:val="-8"/>
        </w:rPr>
      </w:pPr>
      <w:r>
        <w:rPr>
          <w:rFonts w:hint="eastAsia"/>
          <w:color w:val="auto"/>
          <w:spacing w:val="-8"/>
        </w:rPr>
        <w:t>学校秉持“高端化、国际化、个性化”的人才培养理念，逐步形成了以工为主，以航空为特色，工、经、艺、管、文等多学科协调发展的应用型科技大学。学校下设7个学院和基础教学部，开设33个本科专业（含方向）。其中，会计学专业为国家级一流本科专业建设点，电气工程及其自动化、车辆工程和信息工程3个专业为省级一流本科专业建设点。机械电子工程、信息工程、英语专业获评江苏省独立学院“星级专业”。</w:t>
      </w:r>
    </w:p>
    <w:p>
      <w:pPr>
        <w:pStyle w:val="14"/>
        <w:spacing w:line="400" w:lineRule="exact"/>
        <w:ind w:firstLine="420"/>
        <w:jc w:val="both"/>
        <w:rPr>
          <w:color w:val="auto"/>
          <w:spacing w:val="-8"/>
        </w:rPr>
      </w:pPr>
      <w:r>
        <w:rPr>
          <w:rFonts w:hint="eastAsia"/>
          <w:color w:val="auto"/>
          <w:spacing w:val="-8"/>
        </w:rPr>
        <w:t>学校坚持开放办学，注重学生国际化能力的培养，先后与美国、英国、法国、加拿大、澳大利亚、韩国、新加坡等12个国家的256所大学，开设“本硕直通”“微留学”和“云游学”等项目，培养造就具有中国情怀、世界眼光的未来新型高端人才。</w:t>
      </w:r>
    </w:p>
    <w:p>
      <w:pPr>
        <w:pStyle w:val="14"/>
        <w:spacing w:line="400" w:lineRule="exact"/>
        <w:ind w:firstLine="420"/>
        <w:jc w:val="both"/>
        <w:rPr>
          <w:color w:val="auto"/>
          <w:spacing w:val="-8"/>
        </w:rPr>
      </w:pPr>
      <w:r>
        <w:rPr>
          <w:rFonts w:hint="eastAsia"/>
          <w:color w:val="auto"/>
          <w:spacing w:val="-8"/>
        </w:rPr>
        <w:t>学校注重学生的创新能力培养，促进学生的多元化、个性化发展，全面实施“创意、创造、创业”创新人才培养模式，大力开展科技创新竞赛活动。在多项全国性重大竞赛中接连取得突破，获奖人数和奖项等级位居全国同类院校前列。近年来，获国家级奖1352项，一等奖412项；获省部级奖2236项。其中，在全国大学生机器人大赛RoboMaster、全国大学生电子设计竞赛、全国大学生先进成图技术与产品信息建模创新大赛、全国大学生嵌入式芯片与系统设计竞赛等重大竞赛中均斩获一等奖。</w:t>
      </w:r>
    </w:p>
    <w:p>
      <w:pPr>
        <w:pStyle w:val="14"/>
        <w:spacing w:line="400" w:lineRule="exact"/>
        <w:ind w:firstLine="420"/>
        <w:jc w:val="both"/>
        <w:rPr>
          <w:color w:val="auto"/>
          <w:spacing w:val="-8"/>
        </w:rPr>
      </w:pPr>
      <w:r>
        <w:rPr>
          <w:rFonts w:hint="eastAsia"/>
          <w:color w:val="auto"/>
          <w:spacing w:val="-8"/>
        </w:rPr>
        <w:t>学校与国际接轨的办学理念、与行业和区域协调发展的办学实践、为地方提供智力支持以及培养应用型人才的丰硕成果，赢得了良好的社会知名度和美誉度，就业率、考研率和出国深造率在全国民办高校中名列前茅，荣获全国“首届中国创新榜样”、江苏省“5A级社会组织”、江苏省“五一劳动奖状”；同时，被腾讯、网易、新华、新浪四大中国影响力媒体机构评选为“社会影响力独立学院”“最受欢迎独立学院”“品牌实力独立学院”和“综合实力独立学院”。</w:t>
      </w:r>
    </w:p>
    <w:p>
      <w:pPr>
        <w:pStyle w:val="14"/>
        <w:spacing w:line="400" w:lineRule="exact"/>
        <w:ind w:firstLine="420"/>
        <w:jc w:val="both"/>
        <w:rPr>
          <w:color w:val="auto"/>
          <w:spacing w:val="-8"/>
        </w:rPr>
        <w:sectPr>
          <w:pgSz w:w="9800" w:h="15120"/>
          <w:pgMar w:top="1043" w:right="652" w:bottom="987" w:left="663" w:header="801" w:footer="966" w:gutter="0"/>
          <w:pgNumType w:fmt="decimal" w:start="1"/>
          <w:cols w:space="720" w:num="1"/>
          <w:docGrid w:linePitch="360" w:charSpace="0"/>
        </w:sectPr>
      </w:pPr>
      <w:r>
        <w:rPr>
          <w:rFonts w:hint="eastAsia"/>
          <w:color w:val="auto"/>
          <w:spacing w:val="-8"/>
        </w:rPr>
        <w:t>面向未来，学校将秉持“修学储能、经世致用”的校训，贯彻“文化引领、创新驱动、内涵发展、开放办学”的发展理念，着力培养“有事业抱负、有敬业精神、有专业品质、有职业素养”的高素质人才，为早日建成“有特色、应用型、国际化”的高水平科技大学而不懈奋斗！</w:t>
      </w:r>
    </w:p>
    <w:p>
      <w:pPr>
        <w:pStyle w:val="14"/>
        <w:tabs>
          <w:tab w:val="left" w:leader="dot" w:pos="7958"/>
          <w:tab w:val="left" w:leader="dot" w:pos="7969"/>
          <w:tab w:val="left" w:leader="dot" w:pos="8170"/>
        </w:tabs>
        <w:spacing w:line="440" w:lineRule="exact"/>
        <w:ind w:firstLine="3242" w:firstLineChars="900"/>
        <w:jc w:val="both"/>
        <w:rPr>
          <w:rFonts w:eastAsia="PMingLiU"/>
          <w:b/>
          <w:bCs/>
          <w:color w:val="auto"/>
          <w:sz w:val="36"/>
          <w:szCs w:val="36"/>
        </w:rPr>
      </w:pPr>
      <w:r>
        <w:rPr>
          <w:rFonts w:hint="eastAsia" w:asciiTheme="minorEastAsia" w:hAnsiTheme="minorEastAsia" w:eastAsiaTheme="minorEastAsia"/>
          <w:b/>
          <w:bCs/>
          <w:color w:val="auto"/>
          <w:sz w:val="36"/>
          <w:szCs w:val="36"/>
        </w:rPr>
        <w:t>目录</w:t>
      </w:r>
    </w:p>
    <w:p>
      <w:pPr>
        <w:pStyle w:val="14"/>
        <w:tabs>
          <w:tab w:val="left" w:leader="dot" w:pos="7958"/>
          <w:tab w:val="left" w:leader="dot" w:pos="7969"/>
          <w:tab w:val="left" w:leader="dot" w:pos="8170"/>
        </w:tabs>
        <w:spacing w:line="440" w:lineRule="exact"/>
        <w:ind w:firstLine="0"/>
        <w:jc w:val="both"/>
        <w:rPr>
          <w:rFonts w:ascii="Times New Roman" w:hAnsi="Times New Roman" w:eastAsia="PMingLiU" w:cs="Times New Roman"/>
          <w:color w:val="auto"/>
          <w:sz w:val="20"/>
          <w:szCs w:val="20"/>
        </w:rPr>
      </w:pPr>
      <w:r>
        <w:rPr>
          <w:color w:val="auto"/>
        </w:rPr>
        <w:t>学生管理规定</w:t>
      </w:r>
      <w:r>
        <w:rPr>
          <w:color w:val="auto"/>
          <w:lang w:val="en-US" w:eastAsia="zh-CN" w:bidi="en-US"/>
        </w:rPr>
        <w:tab/>
      </w:r>
      <w:r>
        <w:rPr>
          <w:rFonts w:ascii="Times New Roman" w:hAnsi="Times New Roman" w:eastAsia="Times New Roman" w:cs="Times New Roman"/>
          <w:color w:val="auto"/>
          <w:sz w:val="20"/>
          <w:szCs w:val="20"/>
        </w:rPr>
        <w:t>1</w:t>
      </w:r>
    </w:p>
    <w:p>
      <w:pPr>
        <w:pStyle w:val="14"/>
        <w:tabs>
          <w:tab w:val="left" w:leader="dot" w:pos="7958"/>
          <w:tab w:val="left" w:leader="dot" w:pos="7969"/>
          <w:tab w:val="left" w:leader="dot" w:pos="8170"/>
        </w:tabs>
        <w:spacing w:line="440" w:lineRule="exact"/>
        <w:ind w:firstLine="0"/>
        <w:jc w:val="both"/>
        <w:rPr>
          <w:rFonts w:ascii="Times New Roman" w:hAnsi="Times New Roman" w:cs="Times New Roman"/>
          <w:color w:val="auto"/>
          <w:sz w:val="20"/>
          <w:szCs w:val="20"/>
          <w:lang w:eastAsia="zh-CN"/>
        </w:rPr>
      </w:pPr>
      <w:r>
        <w:rPr>
          <w:color w:val="auto"/>
        </w:rPr>
        <w:t>本科生学籍管理办法</w:t>
      </w:r>
      <w:r>
        <w:rPr>
          <w:color w:val="auto"/>
          <w:lang w:val="en-US" w:eastAsia="zh-CN" w:bidi="en-US"/>
        </w:rPr>
        <w:tab/>
      </w:r>
      <w:r>
        <w:rPr>
          <w:rFonts w:ascii="Times New Roman" w:hAnsi="Times New Roman" w:eastAsia="Times New Roman" w:cs="Times New Roman"/>
          <w:color w:val="auto"/>
          <w:sz w:val="20"/>
          <w:szCs w:val="20"/>
        </w:rPr>
        <w:t>5</w:t>
      </w:r>
    </w:p>
    <w:p>
      <w:pPr>
        <w:pStyle w:val="14"/>
        <w:tabs>
          <w:tab w:val="left" w:leader="dot" w:pos="7958"/>
          <w:tab w:val="left" w:leader="dot" w:pos="7969"/>
          <w:tab w:val="left" w:leader="dot" w:pos="8170"/>
        </w:tabs>
        <w:spacing w:line="440" w:lineRule="exact"/>
        <w:ind w:firstLine="0"/>
        <w:jc w:val="both"/>
        <w:rPr>
          <w:rFonts w:ascii="Times New Roman" w:hAnsi="Times New Roman" w:eastAsia="PMingLiU" w:cs="Times New Roman"/>
          <w:color w:val="auto"/>
          <w:sz w:val="20"/>
          <w:szCs w:val="20"/>
        </w:rPr>
      </w:pPr>
      <w:r>
        <w:rPr>
          <w:rFonts w:hint="eastAsia"/>
          <w:color w:val="auto"/>
        </w:rPr>
        <w:t>飞行技术专业学生学籍管理的补充规定</w:t>
      </w:r>
      <w:r>
        <w:rPr>
          <w:color w:val="auto"/>
          <w:lang w:val="en-US" w:eastAsia="zh-CN" w:bidi="en-US"/>
        </w:rPr>
        <w:tab/>
      </w:r>
      <w:r>
        <w:rPr>
          <w:rFonts w:ascii="Times New Roman" w:hAnsi="Times New Roman" w:eastAsia="Times New Roman" w:cs="Times New Roman"/>
          <w:color w:val="auto"/>
          <w:sz w:val="20"/>
          <w:szCs w:val="20"/>
        </w:rPr>
        <w:t>1</w:t>
      </w:r>
      <w:r>
        <w:rPr>
          <w:rFonts w:ascii="Times New Roman" w:hAnsi="Times New Roman" w:eastAsia="PMingLiU" w:cs="Times New Roman"/>
          <w:color w:val="auto"/>
          <w:sz w:val="20"/>
          <w:szCs w:val="20"/>
        </w:rPr>
        <w:t>4</w:t>
      </w:r>
    </w:p>
    <w:p>
      <w:pPr>
        <w:pStyle w:val="14"/>
        <w:tabs>
          <w:tab w:val="left" w:leader="dot" w:pos="7958"/>
          <w:tab w:val="left" w:leader="dot" w:pos="7969"/>
          <w:tab w:val="left" w:leader="dot" w:pos="8170"/>
        </w:tabs>
        <w:spacing w:line="440" w:lineRule="exact"/>
        <w:ind w:firstLine="0"/>
        <w:jc w:val="both"/>
        <w:rPr>
          <w:rFonts w:hint="eastAsia" w:ascii="Times New Roman" w:hAnsi="Times New Roman" w:cs="Times New Roman"/>
          <w:color w:val="auto"/>
          <w:sz w:val="20"/>
          <w:szCs w:val="20"/>
          <w:lang w:val="en-US" w:eastAsia="zh-CN"/>
        </w:rPr>
      </w:pPr>
      <w:r>
        <w:rPr>
          <w:color w:val="auto"/>
        </w:rPr>
        <w:t>学分制收费管理暂行办法</w:t>
      </w:r>
      <w:r>
        <w:rPr>
          <w:color w:val="auto"/>
          <w:lang w:val="en-US" w:eastAsia="zh-CN" w:bidi="en-US"/>
        </w:rPr>
        <w:tab/>
      </w:r>
      <w:r>
        <w:rPr>
          <w:rFonts w:ascii="Times New Roman" w:hAnsi="Times New Roman" w:eastAsia="Times New Roman" w:cs="Times New Roman"/>
          <w:color w:val="auto"/>
          <w:sz w:val="20"/>
          <w:szCs w:val="20"/>
        </w:rPr>
        <w:t>1</w:t>
      </w:r>
      <w:r>
        <w:rPr>
          <w:rFonts w:hint="eastAsia" w:ascii="Times New Roman" w:hAnsi="Times New Roman" w:cs="Times New Roman"/>
          <w:color w:val="auto"/>
          <w:sz w:val="20"/>
          <w:szCs w:val="20"/>
          <w:lang w:val="en-US" w:eastAsia="zh-CN"/>
        </w:rPr>
        <w:t>6</w:t>
      </w:r>
    </w:p>
    <w:p>
      <w:pPr>
        <w:pStyle w:val="14"/>
        <w:tabs>
          <w:tab w:val="left" w:leader="dot" w:pos="7958"/>
          <w:tab w:val="left" w:leader="dot" w:pos="7969"/>
          <w:tab w:val="left" w:leader="dot" w:pos="8170"/>
        </w:tabs>
        <w:spacing w:line="440" w:lineRule="exact"/>
        <w:ind w:firstLine="0"/>
        <w:jc w:val="both"/>
        <w:rPr>
          <w:rFonts w:hint="eastAsia" w:ascii="Times New Roman" w:hAnsi="Times New Roman" w:eastAsia="宋体" w:cs="Times New Roman"/>
          <w:color w:val="auto"/>
          <w:sz w:val="20"/>
          <w:szCs w:val="20"/>
          <w:lang w:val="en-US" w:eastAsia="zh-CN"/>
        </w:rPr>
      </w:pPr>
      <w:r>
        <w:rPr>
          <w:color w:val="auto"/>
        </w:rPr>
        <w:t>学分认定及替代管理办法</w:t>
      </w:r>
      <w:r>
        <w:rPr>
          <w:color w:val="auto"/>
          <w:lang w:val="en-US" w:eastAsia="zh-CN" w:bidi="en-US"/>
        </w:rPr>
        <w:tab/>
      </w:r>
      <w:r>
        <w:rPr>
          <w:rFonts w:ascii="Times New Roman" w:hAnsi="Times New Roman" w:eastAsia="Times New Roman" w:cs="Times New Roman"/>
          <w:color w:val="auto"/>
          <w:sz w:val="20"/>
          <w:szCs w:val="20"/>
        </w:rPr>
        <w:t>1</w:t>
      </w:r>
      <w:r>
        <w:rPr>
          <w:rFonts w:hint="eastAsia" w:ascii="Times New Roman" w:hAnsi="Times New Roman" w:cs="Times New Roman"/>
          <w:color w:val="auto"/>
          <w:sz w:val="20"/>
          <w:szCs w:val="20"/>
          <w:lang w:val="en-US" w:eastAsia="zh-CN"/>
        </w:rPr>
        <w:t>9</w:t>
      </w:r>
    </w:p>
    <w:p>
      <w:pPr>
        <w:pStyle w:val="14"/>
        <w:tabs>
          <w:tab w:val="left" w:leader="dot" w:pos="7958"/>
          <w:tab w:val="left" w:leader="dot" w:pos="7969"/>
          <w:tab w:val="left" w:leader="dot" w:pos="8170"/>
        </w:tabs>
        <w:spacing w:line="440" w:lineRule="exact"/>
        <w:ind w:firstLine="0"/>
        <w:jc w:val="both"/>
        <w:rPr>
          <w:rFonts w:ascii="Times New Roman" w:hAnsi="Times New Roman" w:cs="Times New Roman"/>
          <w:color w:val="auto"/>
          <w:sz w:val="20"/>
          <w:szCs w:val="20"/>
          <w:lang w:eastAsia="zh-CN"/>
        </w:rPr>
      </w:pPr>
      <w:r>
        <w:rPr>
          <w:rFonts w:hint="eastAsia"/>
          <w:color w:val="auto"/>
          <w:lang w:val="en-US" w:eastAsia="zh-CN" w:bidi="en-US"/>
        </w:rPr>
        <w:t>学士学位授予暂行办法</w:t>
      </w:r>
      <w:r>
        <w:rPr>
          <w:color w:val="auto"/>
          <w:lang w:val="en-US" w:eastAsia="zh-CN" w:bidi="en-US"/>
        </w:rPr>
        <w:tab/>
      </w:r>
      <w:r>
        <w:rPr>
          <w:rFonts w:ascii="Times New Roman" w:hAnsi="Times New Roman" w:eastAsia="Times New Roman" w:cs="Times New Roman"/>
          <w:color w:val="auto"/>
          <w:sz w:val="20"/>
          <w:szCs w:val="20"/>
        </w:rPr>
        <w:t>2</w:t>
      </w:r>
      <w:r>
        <w:rPr>
          <w:rFonts w:hint="eastAsia" w:ascii="Times New Roman" w:hAnsi="Times New Roman" w:cs="Times New Roman"/>
          <w:color w:val="auto"/>
          <w:sz w:val="20"/>
          <w:szCs w:val="20"/>
          <w:lang w:val="en-US" w:eastAsia="zh-CN"/>
        </w:rPr>
        <w:t>4</w:t>
      </w:r>
    </w:p>
    <w:p>
      <w:pPr>
        <w:pStyle w:val="14"/>
        <w:tabs>
          <w:tab w:val="left" w:leader="dot" w:pos="7958"/>
          <w:tab w:val="left" w:leader="dot" w:pos="7969"/>
          <w:tab w:val="left" w:leader="dot" w:pos="8170"/>
        </w:tabs>
        <w:spacing w:line="440" w:lineRule="exact"/>
        <w:ind w:firstLine="0"/>
        <w:jc w:val="both"/>
        <w:rPr>
          <w:rFonts w:hint="eastAsia" w:ascii="Times New Roman" w:hAnsi="Times New Roman" w:eastAsia="宋体" w:cs="Times New Roman"/>
          <w:color w:val="auto"/>
          <w:sz w:val="20"/>
          <w:szCs w:val="20"/>
          <w:lang w:val="en-US" w:eastAsia="zh-CN"/>
        </w:rPr>
      </w:pPr>
      <w:r>
        <w:rPr>
          <w:color w:val="auto"/>
        </w:rPr>
        <w:t>本科生参加国际合作交流项目学习管理办法</w:t>
      </w:r>
      <w:r>
        <w:rPr>
          <w:color w:val="auto"/>
          <w:lang w:val="en-US" w:eastAsia="zh-CN" w:bidi="en-US"/>
        </w:rPr>
        <w:tab/>
      </w:r>
      <w:r>
        <w:rPr>
          <w:rFonts w:ascii="Times New Roman" w:hAnsi="Times New Roman" w:eastAsia="Times New Roman" w:cs="Times New Roman"/>
          <w:color w:val="auto"/>
          <w:sz w:val="20"/>
          <w:szCs w:val="20"/>
        </w:rPr>
        <w:t>2</w:t>
      </w:r>
      <w:r>
        <w:rPr>
          <w:rFonts w:hint="eastAsia" w:ascii="Times New Roman" w:hAnsi="Times New Roman" w:eastAsia="宋体" w:cs="Times New Roman"/>
          <w:color w:val="auto"/>
          <w:sz w:val="20"/>
          <w:szCs w:val="20"/>
          <w:lang w:val="en-US" w:eastAsia="zh-CN"/>
        </w:rPr>
        <w:t>5</w:t>
      </w:r>
    </w:p>
    <w:p>
      <w:pPr>
        <w:pStyle w:val="14"/>
        <w:tabs>
          <w:tab w:val="left" w:leader="dot" w:pos="7958"/>
          <w:tab w:val="left" w:leader="dot" w:pos="7969"/>
          <w:tab w:val="left" w:leader="dot" w:pos="8170"/>
        </w:tabs>
        <w:spacing w:line="440" w:lineRule="exact"/>
        <w:ind w:firstLine="0"/>
        <w:jc w:val="both"/>
        <w:rPr>
          <w:rFonts w:hint="eastAsia" w:ascii="Times New Roman" w:hAnsi="Times New Roman" w:eastAsia="宋体" w:cs="Times New Roman"/>
          <w:color w:val="auto"/>
          <w:sz w:val="20"/>
          <w:szCs w:val="20"/>
          <w:lang w:val="en-US" w:eastAsia="zh-CN"/>
        </w:rPr>
      </w:pPr>
      <w:r>
        <w:rPr>
          <w:color w:val="auto"/>
        </w:rPr>
        <w:t>境外高校交流学生管理办法</w:t>
      </w:r>
      <w:r>
        <w:rPr>
          <w:color w:val="auto"/>
          <w:lang w:val="en-US" w:eastAsia="zh-CN" w:bidi="en-US"/>
        </w:rPr>
        <w:tab/>
      </w:r>
      <w:r>
        <w:rPr>
          <w:rFonts w:ascii="Times New Roman" w:hAnsi="Times New Roman" w:eastAsia="Times New Roman" w:cs="Times New Roman"/>
          <w:color w:val="auto"/>
          <w:sz w:val="20"/>
          <w:szCs w:val="20"/>
        </w:rPr>
        <w:t>2</w:t>
      </w:r>
      <w:r>
        <w:rPr>
          <w:rFonts w:hint="eastAsia" w:ascii="Times New Roman" w:hAnsi="Times New Roman" w:eastAsia="宋体" w:cs="Times New Roman"/>
          <w:color w:val="auto"/>
          <w:sz w:val="20"/>
          <w:szCs w:val="20"/>
          <w:lang w:val="en-US" w:eastAsia="zh-CN"/>
        </w:rPr>
        <w:t>7</w:t>
      </w:r>
    </w:p>
    <w:p>
      <w:pPr>
        <w:pStyle w:val="14"/>
        <w:tabs>
          <w:tab w:val="left" w:leader="dot" w:pos="7958"/>
          <w:tab w:val="left" w:leader="dot" w:pos="7969"/>
          <w:tab w:val="left" w:leader="dot" w:pos="8170"/>
        </w:tabs>
        <w:spacing w:line="440" w:lineRule="exact"/>
        <w:ind w:firstLine="0"/>
        <w:jc w:val="both"/>
        <w:rPr>
          <w:rFonts w:hint="eastAsia" w:ascii="Times New Roman" w:hAnsi="Times New Roman" w:eastAsia="宋体" w:cs="Times New Roman"/>
          <w:color w:val="auto"/>
          <w:sz w:val="20"/>
          <w:szCs w:val="20"/>
          <w:lang w:val="en-US" w:eastAsia="zh-CN"/>
        </w:rPr>
      </w:pPr>
      <w:r>
        <w:rPr>
          <w:color w:val="auto"/>
        </w:rPr>
        <w:t>学生考试管理规定</w:t>
      </w:r>
      <w:r>
        <w:rPr>
          <w:color w:val="auto"/>
          <w:lang w:val="en-US" w:eastAsia="zh-CN" w:bidi="en-US"/>
        </w:rPr>
        <w:tab/>
      </w:r>
      <w:r>
        <w:rPr>
          <w:rFonts w:ascii="Times New Roman" w:hAnsi="Times New Roman" w:eastAsia="Times New Roman" w:cs="Times New Roman"/>
          <w:color w:val="auto"/>
          <w:sz w:val="20"/>
          <w:szCs w:val="20"/>
        </w:rPr>
        <w:t>2</w:t>
      </w:r>
      <w:r>
        <w:rPr>
          <w:rFonts w:hint="eastAsia" w:ascii="Times New Roman" w:hAnsi="Times New Roman" w:eastAsia="宋体" w:cs="Times New Roman"/>
          <w:color w:val="auto"/>
          <w:sz w:val="20"/>
          <w:szCs w:val="20"/>
          <w:lang w:val="en-US" w:eastAsia="zh-CN"/>
        </w:rPr>
        <w:t>9</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学生成绩管理办法（暂行）</w:t>
      </w:r>
      <w:r>
        <w:rPr>
          <w:color w:val="auto"/>
          <w:lang w:val="en-US" w:eastAsia="zh-CN" w:bidi="en-US"/>
        </w:rPr>
        <w:tab/>
      </w:r>
      <w:r>
        <w:rPr>
          <w:rFonts w:hint="eastAsia" w:ascii="Times New Roman" w:hAnsi="Times New Roman" w:cs="Times New Roman"/>
          <w:color w:val="auto"/>
          <w:sz w:val="20"/>
          <w:szCs w:val="20"/>
          <w:lang w:val="en-US" w:eastAsia="zh-CN"/>
        </w:rPr>
        <w:t>31</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lang w:val="en-US" w:eastAsia="zh-CN"/>
        </w:rPr>
      </w:pPr>
      <w:r>
        <w:rPr>
          <w:rFonts w:ascii="Times New Roman" w:hAnsi="Times New Roman" w:cs="Times New Roman"/>
          <w:color w:val="auto"/>
          <w:lang w:val="en-US" w:eastAsia="zh-CN"/>
        </w:rPr>
        <w:t>学业预警工作管理办法（试行）</w:t>
      </w:r>
      <w:r>
        <w:rPr>
          <w:color w:val="auto"/>
          <w:lang w:val="en-US" w:eastAsia="zh-CN" w:bidi="en-US"/>
        </w:rPr>
        <w:tab/>
      </w:r>
      <w:r>
        <w:rPr>
          <w:rFonts w:hint="eastAsia" w:ascii="Times New Roman" w:hAnsi="Times New Roman" w:cs="Times New Roman"/>
          <w:color w:val="auto"/>
          <w:sz w:val="20"/>
          <w:szCs w:val="20"/>
          <w:lang w:val="en-US" w:eastAsia="zh-CN"/>
        </w:rPr>
        <w:t>36</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本科生选课管理办法</w:t>
      </w:r>
      <w:r>
        <w:rPr>
          <w:color w:val="auto"/>
          <w:lang w:val="en-US" w:eastAsia="zh-CN" w:bidi="en-US"/>
        </w:rPr>
        <w:tab/>
      </w:r>
      <w:r>
        <w:rPr>
          <w:rFonts w:hint="eastAsia" w:ascii="Times New Roman" w:hAnsi="Times New Roman" w:cs="Times New Roman"/>
          <w:color w:val="auto"/>
          <w:sz w:val="20"/>
          <w:szCs w:val="20"/>
          <w:lang w:val="en-US" w:eastAsia="zh-CN"/>
        </w:rPr>
        <w:t>43</w:t>
      </w:r>
    </w:p>
    <w:p>
      <w:pPr>
        <w:pStyle w:val="14"/>
        <w:tabs>
          <w:tab w:val="left" w:leader="dot" w:pos="7952"/>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本科生转专业实施细则</w:t>
      </w:r>
      <w:r>
        <w:rPr>
          <w:color w:val="auto"/>
          <w:lang w:val="en-US" w:eastAsia="zh-CN" w:bidi="en-US"/>
        </w:rPr>
        <w:tab/>
      </w:r>
      <w:r>
        <w:rPr>
          <w:rFonts w:hint="eastAsia" w:ascii="Times New Roman" w:hAnsi="Times New Roman" w:cs="Times New Roman"/>
          <w:color w:val="auto"/>
          <w:sz w:val="20"/>
          <w:szCs w:val="20"/>
          <w:lang w:val="en-US" w:eastAsia="zh-CN"/>
        </w:rPr>
        <w:t>45</w:t>
      </w:r>
    </w:p>
    <w:p>
      <w:pPr>
        <w:pStyle w:val="14"/>
        <w:tabs>
          <w:tab w:val="left" w:leader="dot" w:pos="7932"/>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lang w:val="zh-CN" w:eastAsia="zh-CN" w:bidi="zh-CN"/>
        </w:rPr>
        <w:t>“课</w:t>
      </w:r>
      <w:r>
        <w:rPr>
          <w:color w:val="auto"/>
        </w:rPr>
        <w:t>程强化班”培养工作管理办法</w:t>
      </w:r>
      <w:r>
        <w:rPr>
          <w:color w:val="auto"/>
          <w:lang w:val="en-US" w:eastAsia="zh-CN" w:bidi="en-US"/>
        </w:rPr>
        <w:tab/>
      </w:r>
      <w:r>
        <w:rPr>
          <w:rFonts w:hint="eastAsia" w:ascii="Times New Roman" w:hAnsi="Times New Roman" w:cs="Times New Roman"/>
          <w:color w:val="auto"/>
          <w:sz w:val="20"/>
          <w:szCs w:val="20"/>
          <w:lang w:val="en-US" w:eastAsia="zh-CN"/>
        </w:rPr>
        <w:t>48</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关于体育课教学管理的规定</w:t>
      </w:r>
      <w:r>
        <w:rPr>
          <w:color w:val="auto"/>
          <w:lang w:val="en-US" w:eastAsia="zh-CN" w:bidi="en-US"/>
        </w:rPr>
        <w:tab/>
      </w:r>
      <w:r>
        <w:rPr>
          <w:rFonts w:hint="eastAsia" w:ascii="Times New Roman" w:hAnsi="Times New Roman" w:cs="Times New Roman"/>
          <w:color w:val="auto"/>
          <w:sz w:val="20"/>
          <w:szCs w:val="20"/>
          <w:lang w:val="en-US" w:eastAsia="zh-CN"/>
        </w:rPr>
        <w:t>50</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学生军事训练教学规定</w:t>
      </w:r>
      <w:r>
        <w:rPr>
          <w:color w:val="auto"/>
          <w:lang w:val="en-US" w:eastAsia="zh-CN" w:bidi="en-US"/>
        </w:rPr>
        <w:tab/>
      </w:r>
      <w:r>
        <w:rPr>
          <w:rFonts w:hint="eastAsia" w:ascii="Times New Roman" w:hAnsi="Times New Roman" w:cs="Times New Roman"/>
          <w:color w:val="auto"/>
          <w:sz w:val="20"/>
          <w:szCs w:val="20"/>
          <w:lang w:val="en-US" w:eastAsia="zh-CN"/>
        </w:rPr>
        <w:t>51</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rFonts w:hint="eastAsia" w:ascii="Times New Roman" w:hAnsi="Times New Roman" w:cs="Times New Roman"/>
          <w:color w:val="auto"/>
          <w:lang w:val="en-US" w:eastAsia="zh-CN"/>
        </w:rPr>
        <w:t>鼓励大学生参军入伍若干规定（试行）</w:t>
      </w:r>
      <w:r>
        <w:rPr>
          <w:color w:val="auto"/>
          <w:lang w:val="en-US" w:eastAsia="zh-CN" w:bidi="en-US"/>
        </w:rPr>
        <w:tab/>
      </w:r>
      <w:r>
        <w:rPr>
          <w:rFonts w:hint="eastAsia" w:ascii="Times New Roman" w:hAnsi="Times New Roman" w:cs="Times New Roman"/>
          <w:color w:val="auto"/>
          <w:sz w:val="20"/>
          <w:szCs w:val="20"/>
          <w:lang w:val="en-US" w:eastAsia="zh-CN"/>
        </w:rPr>
        <w:t>52</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学生评优评奖工作实施办法</w:t>
      </w:r>
      <w:r>
        <w:rPr>
          <w:color w:val="auto"/>
          <w:lang w:val="en-US" w:eastAsia="zh-CN" w:bidi="en-US"/>
        </w:rPr>
        <w:tab/>
      </w:r>
      <w:r>
        <w:rPr>
          <w:rFonts w:hint="eastAsia" w:ascii="Times New Roman" w:hAnsi="Times New Roman" w:cs="Times New Roman"/>
          <w:color w:val="auto"/>
          <w:sz w:val="20"/>
          <w:szCs w:val="20"/>
          <w:lang w:val="en-US" w:eastAsia="zh-CN"/>
        </w:rPr>
        <w:t>53</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学习进步奖及学习重大进步奖评审办法</w:t>
      </w:r>
      <w:r>
        <w:rPr>
          <w:color w:val="auto"/>
          <w:lang w:val="en-US" w:eastAsia="zh-CN" w:bidi="en-US"/>
        </w:rPr>
        <w:tab/>
      </w:r>
      <w:r>
        <w:rPr>
          <w:rFonts w:hint="eastAsia" w:ascii="Times New Roman" w:hAnsi="Times New Roman" w:cs="Times New Roman"/>
          <w:color w:val="auto"/>
          <w:sz w:val="20"/>
          <w:szCs w:val="20"/>
          <w:lang w:val="en-US" w:eastAsia="zh-CN"/>
        </w:rPr>
        <w:t>56</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通令嘉奖实施暂行办法</w:t>
      </w:r>
      <w:r>
        <w:rPr>
          <w:color w:val="auto"/>
          <w:lang w:val="en-US" w:eastAsia="zh-CN" w:bidi="en-US"/>
        </w:rPr>
        <w:tab/>
      </w:r>
      <w:r>
        <w:rPr>
          <w:rFonts w:hint="eastAsia" w:ascii="Times New Roman" w:hAnsi="Times New Roman" w:cs="Times New Roman"/>
          <w:color w:val="auto"/>
          <w:sz w:val="20"/>
          <w:szCs w:val="20"/>
          <w:lang w:val="en-US" w:eastAsia="zh-CN"/>
        </w:rPr>
        <w:t>57</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特别奖学金实施办法</w:t>
      </w:r>
      <w:r>
        <w:rPr>
          <w:color w:val="auto"/>
          <w:lang w:val="en-US" w:eastAsia="zh-CN" w:bidi="en-US"/>
        </w:rPr>
        <w:tab/>
      </w:r>
      <w:r>
        <w:rPr>
          <w:rFonts w:hint="eastAsia" w:ascii="Times New Roman" w:hAnsi="Times New Roman" w:cs="Times New Roman"/>
          <w:color w:val="auto"/>
          <w:sz w:val="20"/>
          <w:szCs w:val="20"/>
          <w:lang w:val="en-US" w:eastAsia="zh-CN"/>
        </w:rPr>
        <w:t>58</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学生违纪处分办法</w:t>
      </w:r>
      <w:r>
        <w:rPr>
          <w:color w:val="auto"/>
          <w:lang w:val="en-US" w:eastAsia="zh-CN" w:bidi="en-US"/>
        </w:rPr>
        <w:tab/>
      </w:r>
      <w:r>
        <w:rPr>
          <w:rFonts w:hint="eastAsia" w:ascii="Times New Roman" w:hAnsi="Times New Roman" w:cs="Times New Roman"/>
          <w:color w:val="auto"/>
          <w:sz w:val="20"/>
          <w:szCs w:val="20"/>
          <w:lang w:val="en-US" w:eastAsia="zh-CN"/>
        </w:rPr>
        <w:t>60</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学生申诉管理办法</w:t>
      </w:r>
      <w:r>
        <w:rPr>
          <w:color w:val="auto"/>
          <w:lang w:val="en-US" w:eastAsia="zh-CN" w:bidi="en-US"/>
        </w:rPr>
        <w:tab/>
      </w:r>
      <w:r>
        <w:rPr>
          <w:rFonts w:hint="eastAsia" w:ascii="Times New Roman" w:hAnsi="Times New Roman" w:cs="Times New Roman"/>
          <w:color w:val="auto"/>
          <w:sz w:val="20"/>
          <w:szCs w:val="20"/>
          <w:lang w:val="en-US" w:eastAsia="zh-CN"/>
        </w:rPr>
        <w:t>64</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学杂费收缴管理规定</w:t>
      </w:r>
      <w:r>
        <w:rPr>
          <w:color w:val="auto"/>
          <w:lang w:val="en-US" w:eastAsia="zh-CN" w:bidi="en-US"/>
        </w:rPr>
        <w:tab/>
      </w:r>
      <w:r>
        <w:rPr>
          <w:rFonts w:hint="eastAsia" w:ascii="Times New Roman" w:hAnsi="Times New Roman" w:cs="Times New Roman"/>
          <w:color w:val="auto"/>
          <w:sz w:val="20"/>
          <w:szCs w:val="20"/>
          <w:lang w:val="en-US" w:eastAsia="zh-CN"/>
        </w:rPr>
        <w:t>66</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学生证、校徽管理办法</w:t>
      </w:r>
      <w:r>
        <w:rPr>
          <w:color w:val="auto"/>
          <w:lang w:val="en-US" w:eastAsia="zh-CN" w:bidi="en-US"/>
        </w:rPr>
        <w:tab/>
      </w:r>
      <w:r>
        <w:rPr>
          <w:rFonts w:hint="eastAsia" w:ascii="Times New Roman" w:hAnsi="Times New Roman" w:cs="Times New Roman"/>
          <w:color w:val="auto"/>
          <w:sz w:val="20"/>
          <w:szCs w:val="20"/>
          <w:lang w:val="en-US" w:eastAsia="zh-CN"/>
        </w:rPr>
        <w:t>67</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学生公寓管理办法</w:t>
      </w:r>
      <w:r>
        <w:rPr>
          <w:color w:val="auto"/>
          <w:lang w:val="en-US" w:eastAsia="zh-CN" w:bidi="en-US"/>
        </w:rPr>
        <w:tab/>
      </w:r>
      <w:r>
        <w:rPr>
          <w:rFonts w:hint="eastAsia" w:ascii="Times New Roman" w:hAnsi="Times New Roman" w:cs="Times New Roman"/>
          <w:color w:val="auto"/>
          <w:sz w:val="20"/>
          <w:szCs w:val="20"/>
          <w:lang w:val="en-US" w:eastAsia="zh-CN"/>
        </w:rPr>
        <w:t>68</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关于住校生申请校外住宿走读的暂行规定</w:t>
      </w:r>
      <w:r>
        <w:rPr>
          <w:color w:val="auto"/>
          <w:lang w:val="en-US" w:eastAsia="zh-CN" w:bidi="en-US"/>
        </w:rPr>
        <w:tab/>
      </w:r>
      <w:r>
        <w:rPr>
          <w:rFonts w:hint="eastAsia" w:ascii="Times New Roman" w:hAnsi="Times New Roman" w:cs="Times New Roman"/>
          <w:color w:val="auto"/>
          <w:sz w:val="20"/>
          <w:szCs w:val="20"/>
          <w:lang w:val="en-US" w:eastAsia="zh-CN"/>
        </w:rPr>
        <w:t>70</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学生请、销假管理规定</w:t>
      </w:r>
      <w:r>
        <w:rPr>
          <w:color w:val="auto"/>
          <w:lang w:val="en-US" w:eastAsia="zh-CN" w:bidi="en-US"/>
        </w:rPr>
        <w:tab/>
      </w:r>
      <w:r>
        <w:rPr>
          <w:rFonts w:hint="eastAsia" w:ascii="Times New Roman" w:hAnsi="Times New Roman" w:cs="Times New Roman"/>
          <w:color w:val="auto"/>
          <w:sz w:val="20"/>
          <w:szCs w:val="20"/>
          <w:lang w:val="en-US" w:eastAsia="zh-CN"/>
        </w:rPr>
        <w:t>71</w:t>
      </w:r>
    </w:p>
    <w:p>
      <w:pPr>
        <w:pStyle w:val="14"/>
        <w:tabs>
          <w:tab w:val="left" w:leader="dot" w:pos="7958"/>
          <w:tab w:val="left" w:leader="dot" w:pos="7969"/>
          <w:tab w:val="left" w:leader="dot" w:pos="8170"/>
        </w:tabs>
        <w:spacing w:line="440" w:lineRule="exact"/>
        <w:ind w:firstLine="0"/>
        <w:jc w:val="both"/>
        <w:rPr>
          <w:rFonts w:hint="default" w:ascii="Times New Roman" w:hAnsi="Times New Roman" w:cs="Times New Roman"/>
          <w:color w:val="auto"/>
          <w:sz w:val="20"/>
          <w:szCs w:val="20"/>
          <w:lang w:val="en-US" w:eastAsia="zh-CN"/>
        </w:rPr>
      </w:pPr>
      <w:r>
        <w:rPr>
          <w:color w:val="auto"/>
        </w:rPr>
        <w:t>学生宿舍个人计算机及上网管理办法</w:t>
      </w:r>
      <w:r>
        <w:rPr>
          <w:color w:val="auto"/>
          <w:lang w:val="en-US" w:eastAsia="zh-CN" w:bidi="en-US"/>
        </w:rPr>
        <w:tab/>
      </w:r>
      <w:r>
        <w:rPr>
          <w:rFonts w:hint="eastAsia" w:ascii="Times New Roman" w:hAnsi="Times New Roman" w:cs="Times New Roman"/>
          <w:color w:val="auto"/>
          <w:sz w:val="20"/>
          <w:szCs w:val="20"/>
          <w:lang w:val="en-US" w:eastAsia="zh-CN"/>
        </w:rPr>
        <w:t>72</w:t>
      </w:r>
    </w:p>
    <w:p>
      <w:pPr>
        <w:pStyle w:val="14"/>
        <w:tabs>
          <w:tab w:val="left" w:leader="dot" w:pos="7958"/>
          <w:tab w:val="left" w:leader="dot" w:pos="7969"/>
          <w:tab w:val="left" w:leader="dot" w:pos="8170"/>
        </w:tabs>
        <w:spacing w:line="440" w:lineRule="exact"/>
        <w:ind w:firstLine="0"/>
        <w:jc w:val="both"/>
        <w:rPr>
          <w:rFonts w:hint="default"/>
          <w:color w:val="auto"/>
          <w:sz w:val="20"/>
          <w:szCs w:val="20"/>
          <w:lang w:val="en-US" w:eastAsia="zh-CN"/>
        </w:rPr>
      </w:pPr>
      <w:r>
        <w:rPr>
          <w:color w:val="auto"/>
        </w:rPr>
        <w:t>学生离校手续办理暂行规定</w:t>
      </w:r>
      <w:r>
        <w:rPr>
          <w:color w:val="auto"/>
          <w:lang w:val="en-US" w:eastAsia="zh-CN" w:bidi="en-US"/>
        </w:rPr>
        <w:tab/>
      </w:r>
      <w:r>
        <w:rPr>
          <w:rFonts w:hint="eastAsia" w:ascii="Times New Roman" w:hAnsi="Times New Roman" w:cs="Times New Roman"/>
          <w:color w:val="auto"/>
          <w:sz w:val="20"/>
          <w:szCs w:val="20"/>
          <w:lang w:val="en-US" w:eastAsia="zh-CN"/>
        </w:rPr>
        <w:t>74</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优良学风标兵宿舍、文明宿舍、优秀宿舍长评选办法</w:t>
      </w:r>
      <w:r>
        <w:rPr>
          <w:color w:val="auto"/>
          <w:lang w:val="en-US" w:eastAsia="zh-CN" w:bidi="en-US"/>
        </w:rPr>
        <w:tab/>
      </w:r>
      <w:r>
        <w:rPr>
          <w:rFonts w:hint="eastAsia" w:ascii="Times New Roman" w:hAnsi="Times New Roman" w:cs="Times New Roman"/>
          <w:color w:val="auto"/>
          <w:sz w:val="20"/>
          <w:szCs w:val="20"/>
          <w:lang w:val="en-US" w:eastAsia="zh-CN"/>
        </w:rPr>
        <w:t>75</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学生勤工助学管理办法</w:t>
      </w:r>
      <w:r>
        <w:rPr>
          <w:color w:val="auto"/>
          <w:lang w:val="en-US" w:eastAsia="zh-CN" w:bidi="en-US"/>
        </w:rPr>
        <w:tab/>
      </w:r>
      <w:r>
        <w:rPr>
          <w:rFonts w:hint="eastAsia" w:ascii="Times New Roman" w:hAnsi="Times New Roman" w:cs="Times New Roman"/>
          <w:color w:val="auto"/>
          <w:sz w:val="20"/>
          <w:szCs w:val="20"/>
          <w:lang w:val="en-US" w:eastAsia="zh-CN"/>
        </w:rPr>
        <w:t>77</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家庭经济困难学生资助实施办法</w:t>
      </w:r>
      <w:r>
        <w:rPr>
          <w:color w:val="auto"/>
          <w:lang w:val="en-US" w:eastAsia="zh-CN" w:bidi="en-US"/>
        </w:rPr>
        <w:tab/>
      </w:r>
      <w:r>
        <w:rPr>
          <w:rFonts w:hint="eastAsia" w:ascii="Times New Roman" w:hAnsi="Times New Roman" w:cs="Times New Roman"/>
          <w:color w:val="auto"/>
          <w:sz w:val="20"/>
          <w:szCs w:val="20"/>
          <w:lang w:val="en-US" w:eastAsia="zh-CN"/>
        </w:rPr>
        <w:t>82</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学生参加城镇居民基本医疗保险实施管理规定</w:t>
      </w:r>
      <w:r>
        <w:rPr>
          <w:color w:val="auto"/>
          <w:lang w:val="en-US" w:eastAsia="zh-CN" w:bidi="en-US"/>
        </w:rPr>
        <w:tab/>
      </w:r>
      <w:r>
        <w:rPr>
          <w:rFonts w:hint="eastAsia" w:ascii="Times New Roman" w:hAnsi="Times New Roman" w:cs="Times New Roman"/>
          <w:color w:val="auto"/>
          <w:sz w:val="20"/>
          <w:szCs w:val="20"/>
          <w:lang w:val="en-US" w:eastAsia="zh-CN"/>
        </w:rPr>
        <w:t>85</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图书馆管理规则</w:t>
      </w:r>
      <w:r>
        <w:rPr>
          <w:color w:val="auto"/>
          <w:lang w:val="en-US" w:eastAsia="zh-CN" w:bidi="en-US"/>
        </w:rPr>
        <w:tab/>
      </w:r>
      <w:r>
        <w:rPr>
          <w:rFonts w:hint="eastAsia" w:ascii="Times New Roman" w:hAnsi="Times New Roman" w:cs="Times New Roman"/>
          <w:color w:val="auto"/>
          <w:sz w:val="20"/>
          <w:szCs w:val="20"/>
          <w:lang w:val="en-US" w:eastAsia="zh-CN"/>
        </w:rPr>
        <w:t>86</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校园秩序管理实施细则</w:t>
      </w:r>
      <w:r>
        <w:rPr>
          <w:color w:val="auto"/>
          <w:lang w:val="en-US" w:eastAsia="zh-CN" w:bidi="en-US"/>
        </w:rPr>
        <w:tab/>
      </w:r>
      <w:r>
        <w:rPr>
          <w:rFonts w:hint="eastAsia" w:ascii="Times New Roman" w:hAnsi="Times New Roman" w:cs="Times New Roman"/>
          <w:color w:val="auto"/>
          <w:sz w:val="20"/>
          <w:szCs w:val="20"/>
          <w:lang w:val="en-US" w:eastAsia="zh-CN"/>
        </w:rPr>
        <w:t>90</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门卫管理规定</w:t>
      </w:r>
      <w:r>
        <w:rPr>
          <w:color w:val="auto"/>
          <w:lang w:val="en-US" w:eastAsia="zh-CN" w:bidi="en-US"/>
        </w:rPr>
        <w:tab/>
      </w:r>
      <w:r>
        <w:rPr>
          <w:rFonts w:hint="eastAsia" w:ascii="Times New Roman" w:hAnsi="Times New Roman" w:cs="Times New Roman"/>
          <w:color w:val="auto"/>
          <w:sz w:val="20"/>
          <w:szCs w:val="20"/>
          <w:lang w:val="en-US" w:eastAsia="zh-CN"/>
        </w:rPr>
        <w:t>92</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学生事务服务中心服务指南</w:t>
      </w:r>
      <w:r>
        <w:rPr>
          <w:color w:val="auto"/>
          <w:lang w:val="en-US" w:eastAsia="zh-CN" w:bidi="en-US"/>
        </w:rPr>
        <w:tab/>
      </w:r>
      <w:r>
        <w:rPr>
          <w:rFonts w:hint="eastAsia" w:ascii="Times New Roman" w:hAnsi="Times New Roman" w:cs="Times New Roman"/>
          <w:color w:val="auto"/>
          <w:sz w:val="20"/>
          <w:szCs w:val="20"/>
          <w:lang w:val="en-US" w:eastAsia="zh-CN"/>
        </w:rPr>
        <w:t>93</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太阳花心理健康指导中心服务指南</w:t>
      </w:r>
      <w:r>
        <w:rPr>
          <w:color w:val="auto"/>
          <w:lang w:val="en-US" w:eastAsia="zh-CN" w:bidi="en-US"/>
        </w:rPr>
        <w:tab/>
      </w:r>
      <w:r>
        <w:rPr>
          <w:rFonts w:hint="eastAsia" w:ascii="Times New Roman" w:hAnsi="Times New Roman" w:cs="Times New Roman"/>
          <w:color w:val="auto"/>
          <w:sz w:val="20"/>
          <w:szCs w:val="20"/>
          <w:lang w:val="en-US" w:eastAsia="zh-CN"/>
        </w:rPr>
        <w:t>94</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大学生职业发展与创业指导大厅服务指南</w:t>
      </w:r>
      <w:r>
        <w:rPr>
          <w:color w:val="auto"/>
          <w:lang w:val="en-US" w:eastAsia="zh-CN" w:bidi="en-US"/>
        </w:rPr>
        <w:tab/>
      </w:r>
      <w:r>
        <w:rPr>
          <w:rFonts w:hint="eastAsia" w:ascii="Times New Roman" w:hAnsi="Times New Roman" w:cs="Times New Roman"/>
          <w:color w:val="auto"/>
          <w:sz w:val="20"/>
          <w:szCs w:val="20"/>
          <w:lang w:val="en-US" w:eastAsia="zh-CN"/>
        </w:rPr>
        <w:t>96</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大学生创新创业园服务指南</w:t>
      </w:r>
      <w:r>
        <w:rPr>
          <w:color w:val="auto"/>
          <w:lang w:val="en-US" w:eastAsia="zh-CN" w:bidi="en-US"/>
        </w:rPr>
        <w:tab/>
      </w:r>
      <w:r>
        <w:rPr>
          <w:rFonts w:hint="eastAsia" w:ascii="Times New Roman" w:hAnsi="Times New Roman" w:cs="Times New Roman"/>
          <w:color w:val="auto"/>
          <w:sz w:val="20"/>
          <w:szCs w:val="20"/>
          <w:lang w:val="en-US" w:eastAsia="zh-CN"/>
        </w:rPr>
        <w:t>97</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普通高等学校学生管理规定</w:t>
      </w:r>
      <w:r>
        <w:rPr>
          <w:color w:val="auto"/>
          <w:lang w:val="en-US" w:eastAsia="zh-CN" w:bidi="en-US"/>
        </w:rPr>
        <w:tab/>
      </w:r>
      <w:r>
        <w:rPr>
          <w:rFonts w:hint="eastAsia" w:ascii="Times New Roman" w:hAnsi="Times New Roman" w:cs="Times New Roman"/>
          <w:color w:val="auto"/>
          <w:sz w:val="20"/>
          <w:szCs w:val="20"/>
          <w:lang w:val="en-US" w:eastAsia="zh-CN"/>
        </w:rPr>
        <w:t>98</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高等学校学生行为准则</w:t>
      </w:r>
      <w:r>
        <w:rPr>
          <w:color w:val="auto"/>
          <w:lang w:val="en-US" w:eastAsia="zh-CN" w:bidi="en-US"/>
        </w:rPr>
        <w:tab/>
      </w:r>
      <w:r>
        <w:rPr>
          <w:rFonts w:hint="eastAsia" w:ascii="Times New Roman" w:hAnsi="Times New Roman" w:cs="Times New Roman"/>
          <w:color w:val="auto"/>
          <w:sz w:val="20"/>
          <w:szCs w:val="20"/>
          <w:lang w:val="en-US" w:eastAsia="zh-CN"/>
        </w:rPr>
        <w:t>106</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高等学校校园秩序管理若干规定</w:t>
      </w:r>
      <w:r>
        <w:rPr>
          <w:color w:val="auto"/>
          <w:lang w:val="en-US" w:eastAsia="zh-CN" w:bidi="en-US"/>
        </w:rPr>
        <w:tab/>
      </w:r>
      <w:r>
        <w:rPr>
          <w:rFonts w:hint="eastAsia" w:ascii="Times New Roman" w:hAnsi="Times New Roman" w:cs="Times New Roman"/>
          <w:color w:val="auto"/>
          <w:sz w:val="20"/>
          <w:szCs w:val="20"/>
          <w:lang w:val="en-US" w:eastAsia="zh-CN"/>
        </w:rPr>
        <w:t>107</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color w:val="auto"/>
        </w:rPr>
        <w:t>普通高等学校学生安全教育及管理暂行规定</w:t>
      </w:r>
      <w:r>
        <w:rPr>
          <w:color w:val="auto"/>
          <w:lang w:val="en-US" w:eastAsia="zh-CN" w:bidi="en-US"/>
        </w:rPr>
        <w:tab/>
      </w:r>
      <w:r>
        <w:rPr>
          <w:rFonts w:hint="eastAsia" w:ascii="Times New Roman" w:hAnsi="Times New Roman" w:cs="Times New Roman"/>
          <w:color w:val="auto"/>
          <w:sz w:val="20"/>
          <w:szCs w:val="20"/>
          <w:lang w:val="en-US" w:eastAsia="zh-CN"/>
        </w:rPr>
        <w:t>109</w:t>
      </w:r>
    </w:p>
    <w:p>
      <w:pPr>
        <w:pStyle w:val="14"/>
        <w:tabs>
          <w:tab w:val="left" w:leader="dot" w:pos="7958"/>
          <w:tab w:val="left" w:leader="dot" w:pos="7965"/>
        </w:tabs>
        <w:spacing w:line="440" w:lineRule="exact"/>
        <w:ind w:firstLine="0"/>
        <w:jc w:val="both"/>
        <w:rPr>
          <w:rFonts w:hint="default" w:ascii="Times New Roman" w:hAnsi="Times New Roman" w:cs="Times New Roman"/>
          <w:color w:val="auto"/>
          <w:sz w:val="20"/>
          <w:szCs w:val="20"/>
          <w:lang w:val="en-US" w:eastAsia="zh-CN"/>
        </w:rPr>
      </w:pPr>
      <w:r>
        <w:rPr>
          <w:rFonts w:hint="eastAsia"/>
          <w:color w:val="auto"/>
          <w:lang w:val="en-US" w:eastAsia="zh-CN" w:bidi="en-US"/>
        </w:rPr>
        <w:t>大学生体质健康标准</w:t>
      </w:r>
      <w:r>
        <w:rPr>
          <w:color w:val="auto"/>
          <w:lang w:val="en-US" w:eastAsia="zh-CN" w:bidi="en-US"/>
        </w:rPr>
        <w:tab/>
      </w:r>
      <w:r>
        <w:rPr>
          <w:rFonts w:hint="eastAsia" w:ascii="Times New Roman" w:hAnsi="Times New Roman" w:cs="Times New Roman"/>
          <w:color w:val="auto"/>
          <w:sz w:val="20"/>
          <w:szCs w:val="20"/>
          <w:lang w:val="en-US" w:eastAsia="zh-CN"/>
        </w:rPr>
        <w:t>112</w:t>
      </w:r>
    </w:p>
    <w:p>
      <w:pPr>
        <w:pStyle w:val="14"/>
        <w:tabs>
          <w:tab w:val="left" w:leader="dot" w:pos="7958"/>
          <w:tab w:val="left" w:leader="dot" w:pos="7965"/>
        </w:tabs>
        <w:spacing w:line="440" w:lineRule="exact"/>
        <w:ind w:firstLine="0"/>
        <w:jc w:val="both"/>
        <w:rPr>
          <w:rFonts w:hint="default"/>
          <w:color w:val="auto"/>
          <w:sz w:val="20"/>
          <w:szCs w:val="20"/>
          <w:lang w:val="en-US" w:eastAsia="zh-CN"/>
        </w:rPr>
        <w:sectPr>
          <w:pgSz w:w="9800" w:h="15120"/>
          <w:pgMar w:top="1043" w:right="652" w:bottom="987" w:left="663" w:header="1082" w:footer="1103" w:gutter="0"/>
          <w:pgNumType w:fmt="decimal"/>
          <w:cols w:space="720" w:num="1"/>
          <w:docGrid w:linePitch="360" w:charSpace="0"/>
        </w:sectPr>
      </w:pPr>
      <w:r>
        <w:rPr>
          <w:color w:val="auto"/>
        </w:rPr>
        <w:t>学生事务办理指南</w:t>
      </w:r>
      <w:r>
        <w:rPr>
          <w:color w:val="auto"/>
          <w:lang w:val="en-US" w:eastAsia="zh-CN" w:bidi="en-US"/>
        </w:rPr>
        <w:tab/>
      </w:r>
      <w:r>
        <w:rPr>
          <w:rFonts w:hint="eastAsia" w:ascii="Times New Roman" w:hAnsi="Times New Roman" w:cs="Times New Roman"/>
          <w:color w:val="auto"/>
          <w:sz w:val="20"/>
          <w:szCs w:val="20"/>
          <w:lang w:val="en-US" w:eastAsia="zh-CN"/>
        </w:rPr>
        <w:t>114</w:t>
      </w:r>
    </w:p>
    <w:p>
      <w:pPr>
        <w:pStyle w:val="12"/>
        <w:keepNext/>
        <w:keepLines/>
        <w:spacing w:before="840" w:after="100" w:line="586" w:lineRule="exact"/>
        <w:rPr>
          <w:rFonts w:eastAsia="PMingLiU"/>
          <w:color w:val="auto"/>
          <w:sz w:val="18"/>
          <w:szCs w:val="18"/>
          <w:highlight w:val="none"/>
        </w:rPr>
      </w:pPr>
      <w:bookmarkStart w:id="3" w:name="bookmark4"/>
      <w:bookmarkStart w:id="4" w:name="bookmark3"/>
      <w:bookmarkStart w:id="5" w:name="bookmark5"/>
      <w:r>
        <w:rPr>
          <w:color w:val="auto"/>
          <w:highlight w:val="none"/>
        </w:rPr>
        <w:t>南京航空航天大学金城学院</w:t>
      </w:r>
      <w:r>
        <w:rPr>
          <w:color w:val="auto"/>
          <w:highlight w:val="none"/>
        </w:rPr>
        <w:br w:type="textWrapping"/>
      </w:r>
      <w:r>
        <w:rPr>
          <w:color w:val="auto"/>
          <w:highlight w:val="none"/>
        </w:rPr>
        <w:t>学生管</w:t>
      </w:r>
      <w:bookmarkEnd w:id="3"/>
      <w:bookmarkEnd w:id="4"/>
      <w:bookmarkEnd w:id="5"/>
      <w:r>
        <w:rPr>
          <w:rFonts w:hint="eastAsia"/>
          <w:color w:val="auto"/>
          <w:highlight w:val="none"/>
        </w:rPr>
        <w:t>理规定</w:t>
      </w:r>
    </w:p>
    <w:p>
      <w:pPr>
        <w:pStyle w:val="14"/>
        <w:spacing w:after="380" w:line="304" w:lineRule="exact"/>
        <w:ind w:firstLine="0"/>
        <w:jc w:val="center"/>
        <w:rPr>
          <w:color w:val="auto"/>
        </w:rPr>
      </w:pPr>
      <w:r>
        <w:rPr>
          <w:color w:val="auto"/>
        </w:rPr>
        <w:t>（</w:t>
      </w:r>
      <w:r>
        <w:rPr>
          <w:rFonts w:ascii="Times New Roman" w:hAnsi="Times New Roman" w:eastAsia="Times New Roman" w:cs="Times New Roman"/>
          <w:color w:val="auto"/>
          <w:sz w:val="20"/>
          <w:szCs w:val="20"/>
        </w:rPr>
        <w:t>2017</w:t>
      </w:r>
      <w:r>
        <w:rPr>
          <w:color w:val="auto"/>
        </w:rPr>
        <w:t>年</w:t>
      </w:r>
      <w:r>
        <w:rPr>
          <w:rFonts w:ascii="Times New Roman" w:hAnsi="Times New Roman" w:eastAsia="Times New Roman" w:cs="Times New Roman"/>
          <w:color w:val="auto"/>
          <w:sz w:val="20"/>
          <w:szCs w:val="20"/>
        </w:rPr>
        <w:t>6</w:t>
      </w:r>
      <w:r>
        <w:rPr>
          <w:color w:val="auto"/>
        </w:rPr>
        <w:t>月校长办公会通过）</w:t>
      </w:r>
    </w:p>
    <w:p>
      <w:pPr>
        <w:pStyle w:val="18"/>
        <w:keepNext/>
        <w:keepLines/>
        <w:rPr>
          <w:color w:val="auto"/>
        </w:rPr>
      </w:pPr>
      <w:bookmarkStart w:id="6" w:name="bookmark7"/>
      <w:bookmarkStart w:id="7" w:name="bookmark8"/>
      <w:bookmarkStart w:id="8" w:name="bookmark6"/>
      <w:r>
        <w:rPr>
          <w:color w:val="auto"/>
        </w:rPr>
        <w:t>第一章总则</w:t>
      </w:r>
      <w:bookmarkEnd w:id="6"/>
      <w:bookmarkEnd w:id="7"/>
      <w:bookmarkEnd w:id="8"/>
    </w:p>
    <w:p>
      <w:pPr>
        <w:pStyle w:val="14"/>
        <w:spacing w:line="302" w:lineRule="exact"/>
        <w:ind w:firstLine="420"/>
        <w:jc w:val="both"/>
        <w:rPr>
          <w:color w:val="auto"/>
        </w:rPr>
      </w:pPr>
      <w:r>
        <w:rPr>
          <w:b/>
          <w:bCs/>
          <w:color w:val="auto"/>
        </w:rPr>
        <w:t>第一条</w:t>
      </w:r>
      <w:r>
        <w:rPr>
          <w:color w:val="auto"/>
        </w:rPr>
        <w:t>为维护学校正常的教育教学秩序和生活秩序，保障学生的合法权益和身心健康，促进学生</w:t>
      </w:r>
      <w:r>
        <w:rPr>
          <w:rFonts w:hint="eastAsia"/>
          <w:color w:val="auto"/>
          <w:lang w:eastAsia="zh-CN"/>
        </w:rPr>
        <w:t>德、智、体、美、劳</w:t>
      </w:r>
      <w:r>
        <w:rPr>
          <w:color w:val="auto"/>
        </w:rPr>
        <w:t>全面发展，依据《中华人民共和国教育法》、《中华人民共和国高等教育法》、《普通高等学校学生管理规定》等法律法规，结合学校实际，制定本规定。</w:t>
      </w:r>
    </w:p>
    <w:p>
      <w:pPr>
        <w:pStyle w:val="14"/>
        <w:spacing w:line="302" w:lineRule="exact"/>
        <w:ind w:firstLine="420"/>
        <w:jc w:val="both"/>
        <w:rPr>
          <w:color w:val="auto"/>
        </w:rPr>
      </w:pPr>
      <w:r>
        <w:rPr>
          <w:b/>
          <w:bCs/>
          <w:color w:val="auto"/>
        </w:rPr>
        <w:t>第二条</w:t>
      </w:r>
      <w:r>
        <w:rPr>
          <w:color w:val="auto"/>
        </w:rPr>
        <w:t>本规定适用于南京航空航天大学金城学院全日制在籍学生。</w:t>
      </w:r>
    </w:p>
    <w:p>
      <w:pPr>
        <w:pStyle w:val="14"/>
        <w:spacing w:line="302" w:lineRule="exact"/>
        <w:ind w:firstLine="420"/>
        <w:jc w:val="both"/>
        <w:rPr>
          <w:color w:val="auto"/>
        </w:rPr>
      </w:pPr>
      <w:r>
        <w:rPr>
          <w:b/>
          <w:bCs/>
          <w:color w:val="auto"/>
        </w:rPr>
        <w:t>第三条</w:t>
      </w:r>
      <w:r>
        <w:rPr>
          <w:color w:val="auto"/>
        </w:rPr>
        <w:t>学校全面贯彻国家教育方针，坚持以立德树人为根本，以培养高级应用型人才为中心，积极培育和践行社会主义核心价值观</w:t>
      </w:r>
      <w:r>
        <w:rPr>
          <w:rFonts w:hint="eastAsia"/>
          <w:color w:val="auto"/>
        </w:rPr>
        <w:t>，</w:t>
      </w:r>
      <w:r>
        <w:rPr>
          <w:color w:val="auto"/>
        </w:rPr>
        <w:t>弘扬中华优秀传统文化和革命文化、社会主义先进文化</w:t>
      </w:r>
      <w:r>
        <w:rPr>
          <w:rFonts w:hint="eastAsia"/>
          <w:color w:val="auto"/>
        </w:rPr>
        <w:t>，</w:t>
      </w:r>
      <w:r>
        <w:rPr>
          <w:color w:val="auto"/>
        </w:rPr>
        <w:t>培养学生的社会责任感、创新精神和实践能力，学校坚持依法治校，科学管理</w:t>
      </w:r>
      <w:r>
        <w:rPr>
          <w:rFonts w:hint="eastAsia"/>
          <w:color w:val="auto"/>
        </w:rPr>
        <w:t>，</w:t>
      </w:r>
      <w:r>
        <w:rPr>
          <w:color w:val="auto"/>
        </w:rPr>
        <w:t>健全和完善管理制度，规范管理行为</w:t>
      </w:r>
      <w:r>
        <w:rPr>
          <w:rFonts w:hint="eastAsia"/>
          <w:color w:val="auto"/>
        </w:rPr>
        <w:t>，</w:t>
      </w:r>
      <w:r>
        <w:rPr>
          <w:color w:val="auto"/>
        </w:rPr>
        <w:t>将管理与加强教育相结合，不断提高管理水平和服务</w:t>
      </w:r>
      <w:r>
        <w:rPr>
          <w:color w:val="auto"/>
          <w:lang w:val="zh-CN" w:eastAsia="zh-CN" w:bidi="zh-CN"/>
        </w:rPr>
        <w:t>水平。</w:t>
      </w:r>
    </w:p>
    <w:p>
      <w:pPr>
        <w:pStyle w:val="14"/>
        <w:spacing w:line="304" w:lineRule="exact"/>
        <w:ind w:firstLine="420"/>
        <w:jc w:val="both"/>
        <w:rPr>
          <w:color w:val="auto"/>
        </w:rPr>
      </w:pPr>
      <w:r>
        <w:rPr>
          <w:b/>
          <w:bCs/>
          <w:color w:val="auto"/>
        </w:rPr>
        <w:t>第四条</w:t>
      </w:r>
      <w:r>
        <w:rPr>
          <w:color w:val="auto"/>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r>
        <w:rPr>
          <w:rFonts w:hint="eastAsia"/>
          <w:color w:val="auto"/>
        </w:rPr>
        <w:t>；</w:t>
      </w:r>
      <w:r>
        <w:rPr>
          <w:color w:val="auto"/>
        </w:rPr>
        <w:t>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w:t>
      </w:r>
      <w:r>
        <w:rPr>
          <w:rFonts w:hint="eastAsia"/>
          <w:color w:val="auto"/>
        </w:rPr>
        <w:t>，</w:t>
      </w:r>
      <w:r>
        <w:rPr>
          <w:color w:val="auto"/>
        </w:rPr>
        <w:t>培养审美情趣。</w:t>
      </w:r>
    </w:p>
    <w:p>
      <w:pPr>
        <w:pStyle w:val="14"/>
        <w:spacing w:after="380" w:line="304" w:lineRule="exact"/>
        <w:ind w:firstLine="420"/>
        <w:jc w:val="both"/>
        <w:rPr>
          <w:color w:val="auto"/>
        </w:rPr>
      </w:pPr>
      <w:r>
        <w:rPr>
          <w:b/>
          <w:bCs/>
          <w:color w:val="auto"/>
        </w:rPr>
        <w:t>第五条</w:t>
      </w:r>
      <w:r>
        <w:rPr>
          <w:color w:val="auto"/>
        </w:rPr>
        <w:t>学校坚持育人为本的理念实施学生管理，充分尊重和保护学生的合法权利，教育和引导学生承担应尽的义务与责任，鼓励和支持学生实行自我管理、自我服务、自我教育</w:t>
      </w:r>
      <w:r>
        <w:rPr>
          <w:rFonts w:hint="eastAsia"/>
          <w:color w:val="auto"/>
        </w:rPr>
        <w:t>、</w:t>
      </w:r>
      <w:r>
        <w:rPr>
          <w:color w:val="auto"/>
        </w:rPr>
        <w:t>自我监督。</w:t>
      </w:r>
    </w:p>
    <w:p>
      <w:pPr>
        <w:pStyle w:val="18"/>
        <w:keepNext/>
        <w:keepLines/>
        <w:rPr>
          <w:color w:val="auto"/>
        </w:rPr>
      </w:pPr>
      <w:bookmarkStart w:id="9" w:name="bookmark11"/>
      <w:bookmarkStart w:id="10" w:name="bookmark10"/>
      <w:bookmarkStart w:id="11" w:name="bookmark9"/>
      <w:r>
        <w:rPr>
          <w:color w:val="auto"/>
        </w:rPr>
        <w:t>第二章学生的权利与义务</w:t>
      </w:r>
      <w:bookmarkEnd w:id="9"/>
      <w:bookmarkEnd w:id="10"/>
      <w:bookmarkEnd w:id="11"/>
    </w:p>
    <w:p>
      <w:pPr>
        <w:pStyle w:val="14"/>
        <w:spacing w:line="304" w:lineRule="exact"/>
        <w:ind w:firstLine="420"/>
        <w:jc w:val="both"/>
        <w:rPr>
          <w:color w:val="auto"/>
        </w:rPr>
      </w:pPr>
      <w:r>
        <w:rPr>
          <w:b/>
          <w:bCs/>
          <w:color w:val="auto"/>
        </w:rPr>
        <w:t>第六条</w:t>
      </w:r>
      <w:r>
        <w:rPr>
          <w:color w:val="auto"/>
        </w:rPr>
        <w:t>学生在校期间依法享有下列权利：</w:t>
      </w:r>
    </w:p>
    <w:p>
      <w:pPr>
        <w:pStyle w:val="14"/>
        <w:spacing w:line="304" w:lineRule="exact"/>
        <w:ind w:firstLine="420"/>
        <w:jc w:val="both"/>
        <w:rPr>
          <w:color w:val="auto"/>
        </w:rPr>
      </w:pPr>
      <w:r>
        <w:rPr>
          <w:color w:val="auto"/>
        </w:rPr>
        <w:t>（</w:t>
      </w:r>
      <w:r>
        <w:rPr>
          <w:rFonts w:hint="eastAsia"/>
          <w:color w:val="auto"/>
        </w:rPr>
        <w:t>一</w:t>
      </w:r>
      <w:r>
        <w:rPr>
          <w:color w:val="auto"/>
        </w:rPr>
        <w:t>）参加学校教育教学计划安排的各项活动，使用学校提供的教育教学资源；</w:t>
      </w:r>
    </w:p>
    <w:p>
      <w:pPr>
        <w:pStyle w:val="14"/>
        <w:spacing w:line="307" w:lineRule="exact"/>
        <w:ind w:firstLine="420"/>
        <w:jc w:val="both"/>
        <w:rPr>
          <w:color w:val="auto"/>
        </w:rPr>
      </w:pPr>
      <w:r>
        <w:rPr>
          <w:color w:val="auto"/>
        </w:rPr>
        <w:t>（二）参加社会实践、志愿服务、勤工助学、文娱体育及科技文化创新等活动，获得就业创业指导和服务；</w:t>
      </w:r>
    </w:p>
    <w:p>
      <w:pPr>
        <w:pStyle w:val="14"/>
        <w:spacing w:line="307" w:lineRule="exact"/>
        <w:ind w:firstLine="420"/>
        <w:jc w:val="both"/>
        <w:rPr>
          <w:color w:val="auto"/>
        </w:rPr>
      </w:pPr>
      <w:r>
        <w:rPr>
          <w:color w:val="auto"/>
        </w:rPr>
        <w:t>（三）申请奖学金、助学金及助学贷款；</w:t>
      </w:r>
    </w:p>
    <w:p>
      <w:pPr>
        <w:pStyle w:val="14"/>
        <w:spacing w:line="307" w:lineRule="exact"/>
        <w:ind w:firstLine="420"/>
        <w:jc w:val="both"/>
        <w:rPr>
          <w:color w:val="auto"/>
        </w:rPr>
      </w:pPr>
      <w:r>
        <w:rPr>
          <w:color w:val="auto"/>
        </w:rPr>
        <w:t>（四）在思想品德、学业成绩等方面获得科学、公正评价，完成学校规定学业后获得相应的学历证书、学位证书；</w:t>
      </w:r>
    </w:p>
    <w:p>
      <w:pPr>
        <w:pStyle w:val="14"/>
        <w:tabs>
          <w:tab w:val="left" w:pos="641"/>
        </w:tabs>
        <w:spacing w:line="307" w:lineRule="exact"/>
        <w:ind w:firstLine="420"/>
        <w:jc w:val="both"/>
        <w:rPr>
          <w:color w:val="auto"/>
        </w:rPr>
      </w:pPr>
      <w:r>
        <w:rPr>
          <w:color w:val="auto"/>
        </w:rPr>
        <w:t>（五）在校内组织、参加学生团体，以适当方式参与学校管理，对学校与学生权益相关事务享有知情权、参与权、表达权和监督权；</w:t>
      </w:r>
    </w:p>
    <w:p>
      <w:pPr>
        <w:pStyle w:val="14"/>
        <w:spacing w:line="326" w:lineRule="exact"/>
        <w:ind w:firstLine="420"/>
        <w:jc w:val="both"/>
        <w:rPr>
          <w:color w:val="auto"/>
        </w:rPr>
        <w:sectPr>
          <w:footerReference r:id="rId7" w:type="first"/>
          <w:footerReference r:id="rId5" w:type="default"/>
          <w:footerReference r:id="rId6" w:type="even"/>
          <w:pgSz w:w="9800" w:h="15120"/>
          <w:pgMar w:top="1043" w:right="652" w:bottom="987" w:left="663" w:header="0" w:footer="3" w:gutter="0"/>
          <w:pgNumType w:fmt="decimal" w:start="1"/>
          <w:cols w:space="720" w:num="1"/>
          <w:titlePg/>
          <w:docGrid w:linePitch="360" w:charSpace="0"/>
        </w:sectPr>
      </w:pPr>
    </w:p>
    <w:p>
      <w:pPr>
        <w:pStyle w:val="14"/>
        <w:spacing w:line="326" w:lineRule="exact"/>
        <w:ind w:firstLine="420"/>
        <w:jc w:val="both"/>
        <w:rPr>
          <w:color w:val="auto"/>
        </w:rPr>
      </w:pPr>
      <w:r>
        <w:rPr>
          <w:color w:val="auto"/>
        </w:rPr>
        <w:t>（六）对学校给予的处理或者处分有异议，向学校、教育行政部门提出申诉，对学校教职员工侵犯其人身权、财产权等合法权益的行为，提出申诉或者依法提起诉讼；</w:t>
      </w:r>
    </w:p>
    <w:p>
      <w:pPr>
        <w:pStyle w:val="14"/>
        <w:spacing w:line="326" w:lineRule="exact"/>
        <w:ind w:firstLine="420"/>
        <w:jc w:val="both"/>
        <w:rPr>
          <w:color w:val="auto"/>
        </w:rPr>
      </w:pPr>
      <w:r>
        <w:rPr>
          <w:color w:val="auto"/>
        </w:rPr>
        <w:t>（七）法律、法规及学校章程规定的其他权利。</w:t>
      </w:r>
    </w:p>
    <w:p>
      <w:pPr>
        <w:pStyle w:val="14"/>
        <w:spacing w:line="302" w:lineRule="exact"/>
        <w:ind w:firstLine="420"/>
        <w:jc w:val="both"/>
        <w:rPr>
          <w:color w:val="auto"/>
        </w:rPr>
      </w:pPr>
      <w:r>
        <w:rPr>
          <w:b/>
          <w:bCs/>
          <w:color w:val="auto"/>
        </w:rPr>
        <w:t>第七条</w:t>
      </w:r>
      <w:r>
        <w:rPr>
          <w:color w:val="auto"/>
        </w:rPr>
        <w:t>学生在行使自己合法权利的同时，不得侵犯他人的合法权利。</w:t>
      </w:r>
    </w:p>
    <w:p>
      <w:pPr>
        <w:pStyle w:val="14"/>
        <w:spacing w:line="302" w:lineRule="exact"/>
        <w:ind w:firstLine="420"/>
        <w:jc w:val="both"/>
        <w:rPr>
          <w:color w:val="auto"/>
        </w:rPr>
      </w:pPr>
      <w:r>
        <w:rPr>
          <w:b/>
          <w:bCs/>
          <w:color w:val="auto"/>
        </w:rPr>
        <w:t>第八条</w:t>
      </w:r>
      <w:r>
        <w:rPr>
          <w:color w:val="auto"/>
        </w:rPr>
        <w:t>学生在校期间依法履行下列义务：</w:t>
      </w:r>
    </w:p>
    <w:p>
      <w:pPr>
        <w:pStyle w:val="14"/>
        <w:spacing w:line="302" w:lineRule="exact"/>
        <w:ind w:firstLine="420"/>
        <w:jc w:val="both"/>
        <w:rPr>
          <w:color w:val="auto"/>
        </w:rPr>
      </w:pPr>
      <w:r>
        <w:rPr>
          <w:color w:val="auto"/>
        </w:rPr>
        <w:t>（</w:t>
      </w:r>
      <w:r>
        <w:rPr>
          <w:rFonts w:hint="eastAsia"/>
          <w:color w:val="auto"/>
        </w:rPr>
        <w:t>一</w:t>
      </w:r>
      <w:r>
        <w:rPr>
          <w:color w:val="auto"/>
        </w:rPr>
        <w:t>）遵守宪法和法律、法规；</w:t>
      </w:r>
    </w:p>
    <w:p>
      <w:pPr>
        <w:pStyle w:val="14"/>
        <w:spacing w:line="302" w:lineRule="exact"/>
        <w:ind w:firstLine="420"/>
        <w:jc w:val="both"/>
        <w:rPr>
          <w:color w:val="auto"/>
        </w:rPr>
      </w:pPr>
      <w:r>
        <w:rPr>
          <w:color w:val="auto"/>
        </w:rPr>
        <w:t>（二）遵守学校章程和规章制度；</w:t>
      </w:r>
    </w:p>
    <w:p>
      <w:pPr>
        <w:pStyle w:val="14"/>
        <w:spacing w:line="302" w:lineRule="exact"/>
        <w:ind w:firstLine="420"/>
        <w:jc w:val="both"/>
        <w:rPr>
          <w:color w:val="auto"/>
        </w:rPr>
      </w:pPr>
      <w:r>
        <w:rPr>
          <w:color w:val="auto"/>
        </w:rPr>
        <w:t>（三）恪守学术道德，完成学校规定学业；</w:t>
      </w:r>
    </w:p>
    <w:p>
      <w:pPr>
        <w:pStyle w:val="14"/>
        <w:spacing w:line="302" w:lineRule="exact"/>
        <w:ind w:firstLine="420"/>
        <w:jc w:val="both"/>
        <w:rPr>
          <w:color w:val="auto"/>
        </w:rPr>
      </w:pPr>
      <w:r>
        <w:rPr>
          <w:color w:val="auto"/>
        </w:rPr>
        <w:t>（四）按规定缴纳学费及有关费用，履行获得贷学金及助学金的相应义务；</w:t>
      </w:r>
    </w:p>
    <w:p>
      <w:pPr>
        <w:pStyle w:val="14"/>
        <w:spacing w:line="302" w:lineRule="exact"/>
        <w:ind w:firstLine="420"/>
        <w:jc w:val="both"/>
        <w:rPr>
          <w:color w:val="auto"/>
        </w:rPr>
      </w:pPr>
      <w:r>
        <w:rPr>
          <w:color w:val="auto"/>
        </w:rPr>
        <w:t>（五）遵守学生行为规范，尊敬师长，养成良好的思想品德和行为习惯；</w:t>
      </w:r>
    </w:p>
    <w:p>
      <w:pPr>
        <w:pStyle w:val="14"/>
        <w:spacing w:line="302" w:lineRule="exact"/>
        <w:ind w:firstLine="420"/>
        <w:jc w:val="both"/>
        <w:rPr>
          <w:color w:val="auto"/>
        </w:rPr>
      </w:pPr>
      <w:r>
        <w:rPr>
          <w:color w:val="auto"/>
        </w:rPr>
        <w:t>（六）法律、法规及学校章程规定的其他义务。</w:t>
      </w:r>
    </w:p>
    <w:p>
      <w:pPr>
        <w:pStyle w:val="14"/>
        <w:spacing w:after="380" w:line="302" w:lineRule="exact"/>
        <w:ind w:firstLine="420"/>
        <w:jc w:val="both"/>
        <w:rPr>
          <w:color w:val="auto"/>
        </w:rPr>
      </w:pPr>
      <w:r>
        <w:rPr>
          <w:b/>
          <w:bCs/>
          <w:color w:val="auto"/>
        </w:rPr>
        <w:t>第九条</w:t>
      </w:r>
      <w:r>
        <w:rPr>
          <w:color w:val="auto"/>
        </w:rPr>
        <w:t>学生应当正确认识自己的法定义务，服从学校的教育管理，维护学校正常的教育教学秩序，履行自己的义务。</w:t>
      </w:r>
    </w:p>
    <w:p>
      <w:pPr>
        <w:pStyle w:val="18"/>
        <w:keepNext/>
        <w:keepLines/>
        <w:spacing w:after="280"/>
        <w:rPr>
          <w:color w:val="auto"/>
        </w:rPr>
      </w:pPr>
      <w:bookmarkStart w:id="12" w:name="bookmark25"/>
      <w:bookmarkStart w:id="13" w:name="bookmark23"/>
      <w:bookmarkStart w:id="14" w:name="bookmark24"/>
      <w:r>
        <w:rPr>
          <w:color w:val="auto"/>
        </w:rPr>
        <w:t>第三章学籍管理</w:t>
      </w:r>
      <w:bookmarkEnd w:id="12"/>
      <w:bookmarkEnd w:id="13"/>
      <w:bookmarkEnd w:id="14"/>
    </w:p>
    <w:p>
      <w:pPr>
        <w:pStyle w:val="14"/>
        <w:spacing w:after="380" w:line="304" w:lineRule="exact"/>
        <w:ind w:firstLine="420"/>
        <w:jc w:val="both"/>
        <w:rPr>
          <w:color w:val="auto"/>
        </w:rPr>
      </w:pPr>
      <w:r>
        <w:rPr>
          <w:b/>
          <w:bCs/>
          <w:color w:val="auto"/>
        </w:rPr>
        <w:t>第十条</w:t>
      </w:r>
      <w:r>
        <w:rPr>
          <w:color w:val="auto"/>
        </w:rPr>
        <w:t>学生学籍管理按《南京航空航天大学金城学院本科生学籍管理办法》执行。</w:t>
      </w:r>
    </w:p>
    <w:p>
      <w:pPr>
        <w:pStyle w:val="18"/>
        <w:keepNext/>
        <w:keepLines/>
        <w:spacing w:after="280"/>
        <w:rPr>
          <w:color w:val="auto"/>
        </w:rPr>
      </w:pPr>
      <w:bookmarkStart w:id="15" w:name="bookmark28"/>
      <w:bookmarkStart w:id="16" w:name="bookmark26"/>
      <w:bookmarkStart w:id="17" w:name="bookmark27"/>
      <w:r>
        <w:rPr>
          <w:color w:val="auto"/>
        </w:rPr>
        <w:t>第四章校园秩序和课外活动</w:t>
      </w:r>
      <w:bookmarkEnd w:id="15"/>
      <w:bookmarkEnd w:id="16"/>
      <w:bookmarkEnd w:id="17"/>
    </w:p>
    <w:p>
      <w:pPr>
        <w:pStyle w:val="14"/>
        <w:spacing w:line="304" w:lineRule="exact"/>
        <w:ind w:firstLine="420"/>
        <w:jc w:val="both"/>
        <w:rPr>
          <w:color w:val="auto"/>
        </w:rPr>
      </w:pPr>
      <w:r>
        <w:rPr>
          <w:b/>
          <w:bCs/>
          <w:color w:val="auto"/>
        </w:rPr>
        <w:t>第十一条</w:t>
      </w:r>
      <w:r>
        <w:rPr>
          <w:color w:val="auto"/>
        </w:rPr>
        <w:t>学校、学生应当共同维护校园正常秩序，保障学校环境安全、稳定，保障学生的正常学习和生活。</w:t>
      </w:r>
    </w:p>
    <w:p>
      <w:pPr>
        <w:pStyle w:val="14"/>
        <w:spacing w:line="304" w:lineRule="exact"/>
        <w:ind w:firstLine="420"/>
        <w:jc w:val="both"/>
        <w:rPr>
          <w:color w:val="auto"/>
        </w:rPr>
      </w:pPr>
      <w:r>
        <w:rPr>
          <w:b/>
          <w:bCs/>
          <w:color w:val="auto"/>
        </w:rPr>
        <w:t>第十二条</w:t>
      </w:r>
      <w:r>
        <w:rPr>
          <w:color w:val="auto"/>
        </w:rPr>
        <w:t>学校支持和保障学生依法参与学校民主管理。学生可以通过各级学生组织、学校各职能部门、校长信箱、校长接待日等渠道反映意见和建议。</w:t>
      </w:r>
    </w:p>
    <w:p>
      <w:pPr>
        <w:pStyle w:val="14"/>
        <w:spacing w:line="304" w:lineRule="exact"/>
        <w:ind w:firstLine="420"/>
        <w:jc w:val="both"/>
        <w:rPr>
          <w:color w:val="auto"/>
        </w:rPr>
      </w:pPr>
      <w:r>
        <w:rPr>
          <w:b/>
          <w:bCs/>
          <w:color w:val="auto"/>
        </w:rPr>
        <w:t>第十三条</w:t>
      </w:r>
      <w:r>
        <w:rPr>
          <w:color w:val="auto"/>
        </w:rPr>
        <w:t>学生应当自觉遵守公民道德规范，自觉遵守学校管理制度，创造和维护文明</w:t>
      </w:r>
      <w:r>
        <w:rPr>
          <w:rFonts w:hint="eastAsia"/>
          <w:color w:val="auto"/>
        </w:rPr>
        <w:t>、</w:t>
      </w:r>
      <w:r>
        <w:rPr>
          <w:color w:val="auto"/>
        </w:rPr>
        <w:t>整洁、优美、安全的学习和生活环境，树立安全风险防范和自我保护意识</w:t>
      </w:r>
      <w:r>
        <w:rPr>
          <w:rFonts w:hint="eastAsia"/>
          <w:color w:val="auto"/>
        </w:rPr>
        <w:t>，</w:t>
      </w:r>
      <w:r>
        <w:rPr>
          <w:color w:val="auto"/>
        </w:rPr>
        <w:t>保障自身合法权益。</w:t>
      </w:r>
    </w:p>
    <w:p>
      <w:pPr>
        <w:pStyle w:val="14"/>
        <w:spacing w:line="304" w:lineRule="exact"/>
        <w:ind w:firstLine="420"/>
        <w:jc w:val="both"/>
        <w:rPr>
          <w:color w:val="auto"/>
        </w:rPr>
      </w:pPr>
      <w:r>
        <w:rPr>
          <w:b/>
          <w:bCs/>
          <w:color w:val="auto"/>
        </w:rPr>
        <w:t>第十四条</w:t>
      </w:r>
      <w:r>
        <w:rPr>
          <w:color w:val="auto"/>
        </w:rPr>
        <w:t>学生不得有酗酒、打架斗殴、赌博、吸毒，传播、复制、贩卖非法书刊和音像制品等违反治安管理规定的行为；不得参与非法传销和进行邪教、封建迷信活动；不得从事或者参与有损大学生形象、有损社会公德的活动。</w:t>
      </w:r>
    </w:p>
    <w:p>
      <w:pPr>
        <w:pStyle w:val="14"/>
        <w:spacing w:line="304" w:lineRule="exact"/>
        <w:ind w:firstLine="420"/>
        <w:jc w:val="both"/>
        <w:rPr>
          <w:color w:val="auto"/>
        </w:rPr>
      </w:pPr>
      <w:r>
        <w:rPr>
          <w:color w:val="auto"/>
        </w:rPr>
        <w:t>学校发现学生在校内有违法行为或者严重精神疾病可能对他人造成伤害的</w:t>
      </w:r>
      <w:r>
        <w:rPr>
          <w:rFonts w:hint="eastAsia"/>
          <w:color w:val="auto"/>
        </w:rPr>
        <w:t>，</w:t>
      </w:r>
      <w:r>
        <w:rPr>
          <w:color w:val="auto"/>
        </w:rPr>
        <w:t>可以依法采取或者协助有关部门采取必要措施。</w:t>
      </w:r>
    </w:p>
    <w:p>
      <w:pPr>
        <w:pStyle w:val="14"/>
        <w:spacing w:line="304" w:lineRule="exact"/>
        <w:ind w:firstLine="420"/>
        <w:jc w:val="both"/>
        <w:rPr>
          <w:color w:val="auto"/>
        </w:rPr>
      </w:pPr>
      <w:r>
        <w:rPr>
          <w:b/>
          <w:bCs/>
          <w:color w:val="auto"/>
        </w:rPr>
        <w:t>第十五条</w:t>
      </w:r>
      <w:r>
        <w:rPr>
          <w:color w:val="auto"/>
        </w:rPr>
        <w:t>任何学生组织和个人不得在学校进行宗教活动。</w:t>
      </w:r>
    </w:p>
    <w:p>
      <w:pPr>
        <w:pStyle w:val="14"/>
        <w:spacing w:line="304" w:lineRule="exact"/>
        <w:ind w:firstLine="420"/>
        <w:jc w:val="both"/>
        <w:rPr>
          <w:color w:val="auto"/>
        </w:rPr>
      </w:pPr>
      <w:r>
        <w:rPr>
          <w:b/>
          <w:bCs/>
          <w:color w:val="auto"/>
        </w:rPr>
        <w:t>第十六条</w:t>
      </w:r>
      <w:r>
        <w:rPr>
          <w:color w:val="auto"/>
        </w:rPr>
        <w:t>学生举行大型集会、游行、示威等活动，须按法律程序和有关规定获得批准</w:t>
      </w:r>
      <w:r>
        <w:rPr>
          <w:rFonts w:hint="eastAsia"/>
          <w:color w:val="auto"/>
        </w:rPr>
        <w:t>，</w:t>
      </w:r>
      <w:r>
        <w:rPr>
          <w:color w:val="auto"/>
        </w:rPr>
        <w:t>并且不得干扰学校的教学、科研和生活秩序，不得损害国家财产和其他公民的权利。对未获批准的，学校将依法劝阻或制止。</w:t>
      </w:r>
    </w:p>
    <w:p>
      <w:pPr>
        <w:pStyle w:val="14"/>
        <w:spacing w:line="304" w:lineRule="exact"/>
        <w:ind w:firstLine="420"/>
        <w:jc w:val="both"/>
        <w:rPr>
          <w:color w:val="auto"/>
        </w:rPr>
      </w:pPr>
      <w:r>
        <w:rPr>
          <w:b/>
          <w:bCs/>
          <w:color w:val="auto"/>
        </w:rPr>
        <w:t>第十七条</w:t>
      </w:r>
      <w:r>
        <w:rPr>
          <w:color w:val="auto"/>
        </w:rPr>
        <w:t>学生使用计算机网络，须遵循国家和学校关于网络使用的有关规定。不得登录非法网站和传播非法文字、音频、视频资料等</w:t>
      </w:r>
      <w:r>
        <w:rPr>
          <w:rFonts w:hint="eastAsia"/>
          <w:color w:val="auto"/>
        </w:rPr>
        <w:t>；</w:t>
      </w:r>
      <w:r>
        <w:rPr>
          <w:color w:val="auto"/>
        </w:rPr>
        <w:t>不得编造或者传播虚假、有害信息；不得攻击、侵入他人计算机和移动通讯网络系统。</w:t>
      </w:r>
    </w:p>
    <w:p>
      <w:pPr>
        <w:pStyle w:val="14"/>
        <w:spacing w:after="280" w:line="304" w:lineRule="exact"/>
        <w:ind w:firstLine="420"/>
        <w:jc w:val="both"/>
        <w:rPr>
          <w:rFonts w:eastAsia="PMingLiU"/>
          <w:color w:val="auto"/>
        </w:rPr>
      </w:pPr>
      <w:r>
        <w:rPr>
          <w:b/>
          <w:bCs/>
          <w:color w:val="auto"/>
        </w:rPr>
        <w:t>第十八条</w:t>
      </w:r>
      <w:r>
        <w:rPr>
          <w:color w:val="auto"/>
        </w:rPr>
        <w:t>学生应当遵守学校关于学生住宿管理的规定，鼓励和支持学生通过制定公约，实施自我管理。具体按《南京航空航天大学金城学院标准化学生宿舍住宿规定》和《南京航空航天大学金城学院关于住校生申请校外住宿走读的暂行规定》执行。</w:t>
      </w:r>
    </w:p>
    <w:p>
      <w:pPr>
        <w:pStyle w:val="14"/>
        <w:spacing w:after="280" w:line="304" w:lineRule="exact"/>
        <w:ind w:firstLine="420"/>
        <w:jc w:val="both"/>
        <w:rPr>
          <w:color w:val="auto"/>
        </w:rPr>
      </w:pPr>
      <w:r>
        <w:rPr>
          <w:b/>
          <w:bCs/>
          <w:color w:val="auto"/>
        </w:rPr>
        <w:t>第十九条</w:t>
      </w:r>
      <w:r>
        <w:rPr>
          <w:color w:val="auto"/>
        </w:rPr>
        <w:t>学校鼓励、支持和指导学生参加社会实践、社会服务活动，并根据实际情况给予必要帮助，学生在校期间都要积极主动参加社会实践活动。具体按《南京航空航天大学金城</w:t>
      </w:r>
      <w:r>
        <w:rPr>
          <w:rFonts w:hint="eastAsia"/>
          <w:color w:val="auto"/>
        </w:rPr>
        <w:t>学院</w:t>
      </w:r>
      <w:r>
        <w:rPr>
          <w:color w:val="auto"/>
        </w:rPr>
        <w:t>大学生社会实践管理办法》执行。</w:t>
      </w:r>
    </w:p>
    <w:p>
      <w:pPr>
        <w:pStyle w:val="14"/>
        <w:spacing w:line="302" w:lineRule="exact"/>
        <w:ind w:firstLine="420"/>
        <w:jc w:val="both"/>
        <w:rPr>
          <w:color w:val="auto"/>
        </w:rPr>
      </w:pPr>
      <w:r>
        <w:rPr>
          <w:b/>
          <w:bCs/>
          <w:color w:val="auto"/>
        </w:rPr>
        <w:t>第二十条</w:t>
      </w:r>
      <w:r>
        <w:rPr>
          <w:color w:val="auto"/>
        </w:rPr>
        <w:t>学校建立健全学生代表大会制度，为学生会、学生社团等开展活动提供必要的条件支持。学生可以在院内组织、参加学生社团。学生成立社团，应当按学校有关规定提出书面申请，报学校批准。学生社团应当在宪法、法律、法规和学校管理制度范围内活动</w:t>
      </w:r>
      <w:r>
        <w:rPr>
          <w:rFonts w:hint="eastAsia"/>
          <w:color w:val="auto"/>
        </w:rPr>
        <w:t>，</w:t>
      </w:r>
      <w:r>
        <w:rPr>
          <w:color w:val="auto"/>
        </w:rPr>
        <w:t>接受学校的领导和管理。具体按《南京航空航天大学金城学院学生社团管理办法》执行。</w:t>
      </w:r>
    </w:p>
    <w:p>
      <w:pPr>
        <w:pStyle w:val="14"/>
        <w:spacing w:line="302" w:lineRule="exact"/>
        <w:ind w:firstLine="420"/>
        <w:jc w:val="both"/>
        <w:rPr>
          <w:color w:val="auto"/>
        </w:rPr>
      </w:pPr>
      <w:r>
        <w:rPr>
          <w:color w:val="auto"/>
        </w:rPr>
        <w:t>学生团体邀请校外组织、人员到学校举办讲座等活动，要就演讲人身份、内容等进行申请报备，需经学校批准。</w:t>
      </w:r>
    </w:p>
    <w:p>
      <w:pPr>
        <w:pStyle w:val="14"/>
        <w:spacing w:line="302" w:lineRule="exact"/>
        <w:ind w:firstLine="420"/>
        <w:jc w:val="both"/>
        <w:rPr>
          <w:color w:val="auto"/>
        </w:rPr>
      </w:pPr>
      <w:r>
        <w:rPr>
          <w:b/>
          <w:bCs/>
          <w:color w:val="auto"/>
        </w:rPr>
        <w:t>第二十一条</w:t>
      </w:r>
      <w:r>
        <w:rPr>
          <w:color w:val="auto"/>
        </w:rPr>
        <w:t>学生在校期间应遵守国家法律法规，自觉维护校园秩序，具体按《南京航空航天大学金城学院校园秩序管理实施细则》执行。</w:t>
      </w:r>
    </w:p>
    <w:p>
      <w:pPr>
        <w:pStyle w:val="14"/>
        <w:spacing w:after="360" w:line="302" w:lineRule="exact"/>
        <w:ind w:firstLine="420"/>
        <w:jc w:val="both"/>
        <w:rPr>
          <w:color w:val="auto"/>
        </w:rPr>
      </w:pPr>
      <w:r>
        <w:rPr>
          <w:b/>
          <w:bCs/>
          <w:color w:val="auto"/>
        </w:rPr>
        <w:t>第二十二条</w:t>
      </w:r>
      <w:r>
        <w:rPr>
          <w:color w:val="auto"/>
        </w:rPr>
        <w:t>学校鼓励学生参加学术科技活动、专业或学科竞赛。</w:t>
      </w:r>
    </w:p>
    <w:p>
      <w:pPr>
        <w:pStyle w:val="18"/>
        <w:keepNext/>
        <w:keepLines/>
        <w:rPr>
          <w:color w:val="auto"/>
        </w:rPr>
      </w:pPr>
      <w:bookmarkStart w:id="18" w:name="bookmark31"/>
      <w:bookmarkStart w:id="19" w:name="bookmark29"/>
      <w:bookmarkStart w:id="20" w:name="bookmark30"/>
      <w:r>
        <w:rPr>
          <w:color w:val="auto"/>
        </w:rPr>
        <w:t>第五章学生奖励</w:t>
      </w:r>
      <w:bookmarkEnd w:id="18"/>
      <w:bookmarkEnd w:id="19"/>
      <w:bookmarkEnd w:id="20"/>
    </w:p>
    <w:p>
      <w:pPr>
        <w:pStyle w:val="14"/>
        <w:spacing w:line="307" w:lineRule="exact"/>
        <w:ind w:firstLine="420"/>
        <w:jc w:val="both"/>
        <w:rPr>
          <w:color w:val="auto"/>
        </w:rPr>
      </w:pPr>
      <w:r>
        <w:rPr>
          <w:b/>
          <w:bCs/>
          <w:color w:val="auto"/>
        </w:rPr>
        <w:t>第二十三条</w:t>
      </w:r>
      <w:r>
        <w:rPr>
          <w:color w:val="auto"/>
        </w:rPr>
        <w:t>学校对在</w:t>
      </w:r>
      <w:r>
        <w:rPr>
          <w:rFonts w:hint="eastAsia"/>
          <w:color w:val="auto"/>
          <w:lang w:eastAsia="zh-CN"/>
        </w:rPr>
        <w:t>德、智、体、美、劳</w:t>
      </w:r>
      <w:r>
        <w:rPr>
          <w:color w:val="auto"/>
        </w:rPr>
        <w:t>等方面全面发展或者在思想品德、学业成绩、科技创造、体育竞赛、文艺活动、志愿服务及社会实践等方面表现突出的学生，给予表彰和奖励。具体按《南京航空航天大学金城学院学生评优评奖实施办法》等文件执行。</w:t>
      </w:r>
    </w:p>
    <w:p>
      <w:pPr>
        <w:pStyle w:val="14"/>
        <w:spacing w:line="305" w:lineRule="exact"/>
        <w:ind w:firstLine="420"/>
        <w:jc w:val="both"/>
        <w:rPr>
          <w:color w:val="auto"/>
        </w:rPr>
      </w:pPr>
      <w:r>
        <w:rPr>
          <w:b/>
          <w:bCs/>
          <w:color w:val="auto"/>
        </w:rPr>
        <w:t>第二十四条</w:t>
      </w:r>
      <w:r>
        <w:rPr>
          <w:color w:val="auto"/>
        </w:rPr>
        <w:t>学校设立优秀学生奖学金、学习进步奖、特别奖学金、单项奖学金。具体按《南京航空航天大学金城学院学生评优评奖工作实施办法》、《南京航空航天大学金城学院特别奖学金实施办法》、《南京航空航天大学金城学院学习进步奖及学习重大进步奖评审办法》等执行。</w:t>
      </w:r>
    </w:p>
    <w:p>
      <w:pPr>
        <w:pStyle w:val="14"/>
        <w:spacing w:line="305" w:lineRule="exact"/>
        <w:ind w:firstLine="420"/>
        <w:jc w:val="both"/>
        <w:rPr>
          <w:color w:val="auto"/>
        </w:rPr>
      </w:pPr>
      <w:r>
        <w:rPr>
          <w:b/>
          <w:bCs/>
          <w:color w:val="auto"/>
        </w:rPr>
        <w:t>第二十五条</w:t>
      </w:r>
      <w:r>
        <w:rPr>
          <w:color w:val="auto"/>
        </w:rPr>
        <w:t>学校设立</w:t>
      </w:r>
      <w:r>
        <w:rPr>
          <w:color w:val="auto"/>
          <w:lang w:val="zh-CN" w:eastAsia="zh-CN" w:bidi="zh-CN"/>
        </w:rPr>
        <w:t>“十</w:t>
      </w:r>
      <w:r>
        <w:rPr>
          <w:color w:val="auto"/>
        </w:rPr>
        <w:t>佳青年”、</w:t>
      </w:r>
      <w:r>
        <w:rPr>
          <w:color w:val="auto"/>
          <w:lang w:val="zh-CN" w:eastAsia="zh-CN" w:bidi="zh-CN"/>
        </w:rPr>
        <w:t>“三好</w:t>
      </w:r>
      <w:r>
        <w:rPr>
          <w:color w:val="auto"/>
        </w:rPr>
        <w:t>学生标兵”、</w:t>
      </w:r>
      <w:r>
        <w:rPr>
          <w:color w:val="auto"/>
          <w:lang w:val="zh-CN" w:eastAsia="zh-CN" w:bidi="zh-CN"/>
        </w:rPr>
        <w:t>“三</w:t>
      </w:r>
      <w:r>
        <w:rPr>
          <w:color w:val="auto"/>
        </w:rPr>
        <w:t>好学生”、</w:t>
      </w:r>
      <w:r>
        <w:rPr>
          <w:color w:val="auto"/>
          <w:lang w:val="zh-CN" w:eastAsia="zh-CN" w:bidi="zh-CN"/>
        </w:rPr>
        <w:t>“优秀</w:t>
      </w:r>
      <w:r>
        <w:rPr>
          <w:color w:val="auto"/>
        </w:rPr>
        <w:t>毕业生”、</w:t>
      </w:r>
      <w:r>
        <w:rPr>
          <w:color w:val="auto"/>
          <w:lang w:val="zh-CN" w:eastAsia="zh-CN" w:bidi="zh-CN"/>
        </w:rPr>
        <w:t>“优</w:t>
      </w:r>
      <w:r>
        <w:rPr>
          <w:color w:val="auto"/>
        </w:rPr>
        <w:t>秀学生党员”、</w:t>
      </w:r>
      <w:r>
        <w:rPr>
          <w:color w:val="auto"/>
          <w:lang w:val="zh-CN" w:eastAsia="zh-CN" w:bidi="zh-CN"/>
        </w:rPr>
        <w:t>“优秀</w:t>
      </w:r>
      <w:r>
        <w:rPr>
          <w:color w:val="auto"/>
        </w:rPr>
        <w:t>学生干部”、</w:t>
      </w:r>
      <w:r>
        <w:rPr>
          <w:color w:val="auto"/>
          <w:lang w:val="zh-CN" w:eastAsia="zh-CN" w:bidi="zh-CN"/>
        </w:rPr>
        <w:t>“优</w:t>
      </w:r>
      <w:r>
        <w:rPr>
          <w:color w:val="auto"/>
        </w:rPr>
        <w:t>秀团干部”、</w:t>
      </w:r>
      <w:r>
        <w:rPr>
          <w:color w:val="auto"/>
          <w:lang w:val="zh-CN" w:eastAsia="zh-CN" w:bidi="zh-CN"/>
        </w:rPr>
        <w:t>“优</w:t>
      </w:r>
      <w:r>
        <w:rPr>
          <w:color w:val="auto"/>
        </w:rPr>
        <w:t>秀团员”、</w:t>
      </w:r>
      <w:r>
        <w:rPr>
          <w:color w:val="auto"/>
          <w:lang w:val="zh-CN" w:eastAsia="zh-CN" w:bidi="zh-CN"/>
        </w:rPr>
        <w:t>“先</w:t>
      </w:r>
      <w:r>
        <w:rPr>
          <w:color w:val="auto"/>
        </w:rPr>
        <w:t>进班集体”、</w:t>
      </w:r>
      <w:r>
        <w:rPr>
          <w:color w:val="auto"/>
          <w:lang w:val="zh-CN" w:eastAsia="zh-CN" w:bidi="zh-CN"/>
        </w:rPr>
        <w:t>“五四</w:t>
      </w:r>
      <w:r>
        <w:rPr>
          <w:color w:val="auto"/>
        </w:rPr>
        <w:t>红旗团支部</w:t>
      </w:r>
      <w:r>
        <w:rPr>
          <w:rFonts w:hint="eastAsia"/>
          <w:color w:val="auto"/>
        </w:rPr>
        <w:t>”</w:t>
      </w:r>
      <w:r>
        <w:rPr>
          <w:color w:val="auto"/>
        </w:rPr>
        <w:t>等荣誉称号，具体按《南京航空航天大学金城学院学生评优评奖工作实施办法》、《南京航空航天大学金城学院</w:t>
      </w:r>
      <w:r>
        <w:rPr>
          <w:color w:val="auto"/>
          <w:lang w:val="zh-CN" w:eastAsia="zh-CN" w:bidi="zh-CN"/>
        </w:rPr>
        <w:t>“五</w:t>
      </w:r>
      <w:r>
        <w:rPr>
          <w:color w:val="auto"/>
        </w:rPr>
        <w:t>四团内评优”细则》执行。</w:t>
      </w:r>
    </w:p>
    <w:p>
      <w:pPr>
        <w:pStyle w:val="14"/>
        <w:spacing w:line="305" w:lineRule="exact"/>
        <w:ind w:firstLine="420"/>
        <w:jc w:val="both"/>
        <w:rPr>
          <w:rFonts w:eastAsia="PMingLiU"/>
          <w:color w:val="auto"/>
        </w:rPr>
      </w:pPr>
      <w:r>
        <w:rPr>
          <w:b/>
          <w:bCs/>
          <w:color w:val="auto"/>
        </w:rPr>
        <w:t>第二十六条</w:t>
      </w:r>
      <w:r>
        <w:rPr>
          <w:color w:val="auto"/>
        </w:rPr>
        <w:t>对在各方面为学校、为社会做出突出贡献的学生个人和集体实行通令嘉奖、通报表扬制度，具体实施办法见《南京航空航天大学金城学院通令嘉奖实施暂行办法》</w:t>
      </w:r>
      <w:r>
        <w:rPr>
          <w:rFonts w:hint="eastAsia"/>
          <w:color w:val="auto"/>
        </w:rPr>
        <w:t>等条例。</w:t>
      </w:r>
    </w:p>
    <w:p>
      <w:pPr>
        <w:pStyle w:val="14"/>
        <w:spacing w:after="400" w:line="305" w:lineRule="exact"/>
        <w:ind w:firstLine="420"/>
        <w:jc w:val="both"/>
        <w:rPr>
          <w:color w:val="auto"/>
        </w:rPr>
      </w:pPr>
      <w:r>
        <w:rPr>
          <w:b/>
          <w:bCs/>
          <w:color w:val="auto"/>
        </w:rPr>
        <w:t>第二十七条</w:t>
      </w:r>
      <w:r>
        <w:rPr>
          <w:color w:val="auto"/>
        </w:rPr>
        <w:t>对表现突出的学生，学校将推荐参加市级以上各种评优评奖。</w:t>
      </w:r>
    </w:p>
    <w:p>
      <w:pPr>
        <w:pStyle w:val="18"/>
        <w:keepNext/>
        <w:keepLines/>
        <w:rPr>
          <w:color w:val="auto"/>
        </w:rPr>
      </w:pPr>
      <w:bookmarkStart w:id="21" w:name="bookmark33"/>
      <w:bookmarkStart w:id="22" w:name="bookmark32"/>
      <w:bookmarkStart w:id="23" w:name="bookmark34"/>
      <w:r>
        <w:rPr>
          <w:color w:val="auto"/>
        </w:rPr>
        <w:t>第六章学生处分</w:t>
      </w:r>
      <w:bookmarkEnd w:id="21"/>
      <w:bookmarkEnd w:id="22"/>
      <w:bookmarkEnd w:id="23"/>
    </w:p>
    <w:p>
      <w:pPr>
        <w:pStyle w:val="14"/>
        <w:spacing w:line="305" w:lineRule="exact"/>
        <w:ind w:firstLine="420"/>
        <w:jc w:val="both"/>
        <w:rPr>
          <w:color w:val="auto"/>
        </w:rPr>
      </w:pPr>
      <w:r>
        <w:rPr>
          <w:b/>
          <w:bCs/>
          <w:color w:val="auto"/>
        </w:rPr>
        <w:t>第二十八条</w:t>
      </w:r>
      <w:r>
        <w:rPr>
          <w:color w:val="auto"/>
        </w:rPr>
        <w:t>对有违法、违规、违纪行为的学生，学校应本着实事求是、客观公正、惩前</w:t>
      </w:r>
      <w:r>
        <w:rPr>
          <w:rFonts w:hint="eastAsia"/>
          <w:color w:val="auto"/>
        </w:rPr>
        <w:t>毖</w:t>
      </w:r>
      <w:r>
        <w:rPr>
          <w:color w:val="auto"/>
        </w:rPr>
        <w:t>后、治病救人的原则，给予批评教育，并视其情节轻重、危害程度、认识态度给予相应的纪律处分。具体按《南京航空航天大学金城学院学生违纪处分办法》执行。</w:t>
      </w:r>
    </w:p>
    <w:p>
      <w:pPr>
        <w:pStyle w:val="14"/>
        <w:spacing w:line="305" w:lineRule="exact"/>
        <w:ind w:firstLine="420"/>
        <w:jc w:val="both"/>
        <w:rPr>
          <w:color w:val="auto"/>
        </w:rPr>
      </w:pPr>
      <w:r>
        <w:rPr>
          <w:b/>
          <w:bCs/>
          <w:color w:val="auto"/>
        </w:rPr>
        <w:t>第二十九条</w:t>
      </w:r>
      <w:r>
        <w:rPr>
          <w:color w:val="auto"/>
        </w:rPr>
        <w:t>学生违纪处分（开除学籍处分除外）的考察期限为</w:t>
      </w:r>
      <w:r>
        <w:rPr>
          <w:rFonts w:ascii="Times New Roman" w:hAnsi="Times New Roman" w:eastAsia="Times New Roman" w:cs="Times New Roman"/>
          <w:color w:val="auto"/>
          <w:sz w:val="20"/>
          <w:szCs w:val="20"/>
        </w:rPr>
        <w:t>6</w:t>
      </w:r>
      <w:r>
        <w:rPr>
          <w:color w:val="auto"/>
        </w:rPr>
        <w:t>到</w:t>
      </w:r>
      <w:r>
        <w:rPr>
          <w:rFonts w:ascii="Times New Roman" w:hAnsi="Times New Roman" w:eastAsia="Times New Roman" w:cs="Times New Roman"/>
          <w:color w:val="auto"/>
          <w:sz w:val="20"/>
          <w:szCs w:val="20"/>
        </w:rPr>
        <w:t>12</w:t>
      </w:r>
      <w:r>
        <w:rPr>
          <w:color w:val="auto"/>
        </w:rPr>
        <w:t>个月，考察期内取消一切评优评奖资格，到期按学校规定程序予以解除。解除处分后，学生获得表彰、奖励及其他权益，不再受原处分的影响。</w:t>
      </w:r>
    </w:p>
    <w:p>
      <w:pPr>
        <w:pStyle w:val="14"/>
        <w:spacing w:line="305" w:lineRule="exact"/>
        <w:ind w:firstLine="420"/>
        <w:jc w:val="both"/>
        <w:rPr>
          <w:color w:val="auto"/>
        </w:rPr>
      </w:pPr>
      <w:r>
        <w:rPr>
          <w:b/>
          <w:bCs/>
          <w:color w:val="auto"/>
        </w:rPr>
        <w:t>第三十条</w:t>
      </w:r>
      <w:r>
        <w:rPr>
          <w:color w:val="auto"/>
        </w:rPr>
        <w:t>凡被开除学籍的学生，由学校发给学习证明；学生在接到处分决定起一周内必须离开学校，其户口档案一律退回其家庭户籍所在地。</w:t>
      </w:r>
    </w:p>
    <w:p>
      <w:pPr>
        <w:pStyle w:val="14"/>
        <w:spacing w:after="320" w:line="305" w:lineRule="exact"/>
        <w:ind w:firstLine="420"/>
        <w:jc w:val="both"/>
        <w:rPr>
          <w:color w:val="auto"/>
        </w:rPr>
      </w:pPr>
      <w:r>
        <w:rPr>
          <w:b/>
          <w:bCs/>
          <w:color w:val="auto"/>
        </w:rPr>
        <w:t>第三十一条</w:t>
      </w:r>
      <w:r>
        <w:rPr>
          <w:color w:val="auto"/>
        </w:rPr>
        <w:t>学生奖励、处分材料真实完整地归入学校文书档案和本人档案。</w:t>
      </w:r>
    </w:p>
    <w:p>
      <w:pPr>
        <w:pStyle w:val="18"/>
        <w:keepNext/>
        <w:keepLines/>
        <w:rPr>
          <w:color w:val="auto"/>
        </w:rPr>
      </w:pPr>
      <w:bookmarkStart w:id="24" w:name="bookmark36"/>
      <w:bookmarkStart w:id="25" w:name="bookmark37"/>
      <w:bookmarkStart w:id="26" w:name="bookmark35"/>
      <w:r>
        <w:rPr>
          <w:color w:val="auto"/>
        </w:rPr>
        <w:t>第七章学生申诉</w:t>
      </w:r>
      <w:bookmarkEnd w:id="24"/>
      <w:bookmarkEnd w:id="25"/>
      <w:bookmarkEnd w:id="26"/>
    </w:p>
    <w:p>
      <w:pPr>
        <w:pStyle w:val="14"/>
        <w:spacing w:line="307" w:lineRule="exact"/>
        <w:ind w:firstLine="440"/>
        <w:jc w:val="both"/>
        <w:rPr>
          <w:color w:val="auto"/>
        </w:rPr>
      </w:pPr>
      <w:r>
        <w:rPr>
          <w:b/>
          <w:bCs/>
          <w:color w:val="auto"/>
        </w:rPr>
        <w:t>第三十二条</w:t>
      </w:r>
      <w:r>
        <w:rPr>
          <w:color w:val="auto"/>
        </w:rPr>
        <w:t>学校成立学生申诉处理委员会，负责受理学生对处理或者处分决定的申诉事宜。学生申诉处理委员会由学校相关负责人、职能部门负责人、教师代表、学生代表、法务代表等组成。</w:t>
      </w:r>
    </w:p>
    <w:p>
      <w:pPr>
        <w:pStyle w:val="14"/>
        <w:spacing w:after="360" w:line="307" w:lineRule="exact"/>
        <w:ind w:firstLine="440"/>
        <w:jc w:val="both"/>
        <w:rPr>
          <w:color w:val="auto"/>
        </w:rPr>
      </w:pPr>
      <w:r>
        <w:rPr>
          <w:b/>
          <w:bCs/>
          <w:color w:val="auto"/>
        </w:rPr>
        <w:t>第三十三条</w:t>
      </w:r>
      <w:r>
        <w:rPr>
          <w:color w:val="auto"/>
        </w:rPr>
        <w:t>学生对学校就其</w:t>
      </w:r>
      <w:r>
        <w:rPr>
          <w:rFonts w:hint="eastAsia"/>
          <w:color w:val="auto"/>
        </w:rPr>
        <w:t>作</w:t>
      </w:r>
      <w:r>
        <w:rPr>
          <w:color w:val="auto"/>
        </w:rPr>
        <w:t>出的违规违纪处分、取消入学资格、退学处理等决定有异议的，可以向学校学生申诉处理委员会提出申诉，具体按《南京航空航天大学金城学院学生申诉管理办法》执行。</w:t>
      </w:r>
    </w:p>
    <w:p>
      <w:pPr>
        <w:pStyle w:val="18"/>
        <w:keepNext/>
        <w:keepLines/>
        <w:rPr>
          <w:color w:val="auto"/>
        </w:rPr>
      </w:pPr>
      <w:bookmarkStart w:id="27" w:name="bookmark40"/>
      <w:bookmarkStart w:id="28" w:name="bookmark38"/>
      <w:bookmarkStart w:id="29" w:name="bookmark39"/>
      <w:r>
        <w:rPr>
          <w:color w:val="auto"/>
        </w:rPr>
        <w:t>第八章附则</w:t>
      </w:r>
      <w:bookmarkEnd w:id="27"/>
      <w:bookmarkEnd w:id="28"/>
      <w:bookmarkEnd w:id="29"/>
    </w:p>
    <w:p>
      <w:pPr>
        <w:pStyle w:val="14"/>
        <w:spacing w:line="307" w:lineRule="exact"/>
        <w:ind w:firstLine="440"/>
        <w:jc w:val="both"/>
        <w:rPr>
          <w:color w:val="auto"/>
        </w:rPr>
      </w:pPr>
      <w:r>
        <w:rPr>
          <w:b/>
          <w:bCs/>
          <w:color w:val="auto"/>
        </w:rPr>
        <w:t>第三十四条</w:t>
      </w:r>
      <w:r>
        <w:rPr>
          <w:color w:val="auto"/>
        </w:rPr>
        <w:t>本规定自颁布之日起执行。</w:t>
      </w:r>
    </w:p>
    <w:p>
      <w:pPr>
        <w:pStyle w:val="14"/>
        <w:spacing w:after="340" w:line="307" w:lineRule="exact"/>
        <w:ind w:firstLine="440"/>
        <w:jc w:val="both"/>
        <w:rPr>
          <w:color w:val="auto"/>
        </w:rPr>
        <w:sectPr>
          <w:footerReference r:id="rId10" w:type="first"/>
          <w:footerReference r:id="rId8" w:type="default"/>
          <w:footerReference r:id="rId9" w:type="even"/>
          <w:pgSz w:w="9800" w:h="15120"/>
          <w:pgMar w:top="1043" w:right="652" w:bottom="987" w:left="663" w:header="0" w:footer="3" w:gutter="0"/>
          <w:pgNumType w:fmt="decimal" w:start="2"/>
          <w:cols w:space="720" w:num="1"/>
          <w:titlePg/>
          <w:docGrid w:linePitch="360" w:charSpace="0"/>
        </w:sectPr>
      </w:pPr>
      <w:r>
        <w:rPr>
          <w:b/>
          <w:bCs/>
          <w:color w:val="auto"/>
        </w:rPr>
        <w:t>第三十五条</w:t>
      </w:r>
      <w:r>
        <w:rPr>
          <w:color w:val="auto"/>
        </w:rPr>
        <w:t>本规定由南京航空航天大学金城学院校长办公室负责解释。</w:t>
      </w:r>
    </w:p>
    <w:p>
      <w:pPr>
        <w:pStyle w:val="12"/>
        <w:keepNext/>
        <w:keepLines/>
        <w:spacing w:before="1000" w:after="260" w:line="600" w:lineRule="exact"/>
        <w:rPr>
          <w:color w:val="auto"/>
          <w:highlight w:val="none"/>
        </w:rPr>
      </w:pPr>
      <w:bookmarkStart w:id="30" w:name="bookmark42"/>
      <w:bookmarkStart w:id="31" w:name="bookmark41"/>
      <w:bookmarkStart w:id="32" w:name="bookmark43"/>
      <w:r>
        <w:rPr>
          <w:color w:val="auto"/>
          <w:highlight w:val="none"/>
        </w:rPr>
        <w:t>南京航空航天大学金城学院</w:t>
      </w:r>
      <w:r>
        <w:rPr>
          <w:color w:val="auto"/>
          <w:highlight w:val="none"/>
        </w:rPr>
        <w:br w:type="textWrapping"/>
      </w:r>
      <w:r>
        <w:rPr>
          <w:color w:val="auto"/>
          <w:highlight w:val="none"/>
        </w:rPr>
        <w:t>本科生学籍管理办法</w:t>
      </w:r>
      <w:bookmarkEnd w:id="30"/>
      <w:bookmarkEnd w:id="31"/>
      <w:bookmarkEnd w:id="32"/>
    </w:p>
    <w:p>
      <w:pPr>
        <w:pStyle w:val="14"/>
        <w:spacing w:after="260" w:line="304" w:lineRule="exact"/>
        <w:ind w:firstLine="0"/>
        <w:jc w:val="center"/>
        <w:rPr>
          <w:color w:val="auto"/>
        </w:rPr>
      </w:pPr>
      <w:r>
        <w:rPr>
          <w:color w:val="auto"/>
        </w:rPr>
        <w:t>（</w:t>
      </w:r>
      <w:r>
        <w:rPr>
          <w:rFonts w:ascii="Times New Roman" w:hAnsi="Times New Roman" w:eastAsia="Times New Roman" w:cs="Times New Roman"/>
          <w:color w:val="auto"/>
          <w:sz w:val="20"/>
          <w:szCs w:val="20"/>
        </w:rPr>
        <w:t>20</w:t>
      </w:r>
      <w:r>
        <w:rPr>
          <w:rFonts w:hint="eastAsia" w:ascii="Times New Roman" w:hAnsi="Times New Roman" w:cs="Times New Roman" w:eastAsiaTheme="minorEastAsia"/>
          <w:color w:val="auto"/>
          <w:sz w:val="20"/>
          <w:szCs w:val="20"/>
          <w:lang w:eastAsia="zh-CN"/>
        </w:rPr>
        <w:t>21</w:t>
      </w:r>
      <w:r>
        <w:rPr>
          <w:color w:val="auto"/>
        </w:rPr>
        <w:t>年</w:t>
      </w:r>
      <w:r>
        <w:rPr>
          <w:rFonts w:hint="eastAsia" w:ascii="Times New Roman" w:hAnsi="Times New Roman" w:cs="Times New Roman" w:eastAsiaTheme="minorEastAsia"/>
          <w:color w:val="auto"/>
          <w:sz w:val="20"/>
          <w:szCs w:val="20"/>
          <w:lang w:eastAsia="zh-CN"/>
        </w:rPr>
        <w:t>7</w:t>
      </w:r>
      <w:r>
        <w:rPr>
          <w:color w:val="auto"/>
        </w:rPr>
        <w:t>月校长办公会通过）</w:t>
      </w:r>
    </w:p>
    <w:p>
      <w:pPr>
        <w:pStyle w:val="14"/>
        <w:spacing w:line="300" w:lineRule="exact"/>
        <w:ind w:firstLine="420"/>
        <w:jc w:val="both"/>
        <w:rPr>
          <w:color w:val="auto"/>
        </w:rPr>
      </w:pPr>
      <w:r>
        <w:rPr>
          <w:color w:val="auto"/>
        </w:rPr>
        <w:t>为保证教育教学质量，逐步完善学分制教学管理制度，加强学籍管理，进一步调动学生的学习积极性和主动性，促进学生德、智、体、美</w:t>
      </w:r>
      <w:r>
        <w:rPr>
          <w:rFonts w:hint="eastAsia"/>
          <w:color w:val="auto"/>
          <w:lang w:eastAsia="zh-CN"/>
        </w:rPr>
        <w:t>、</w:t>
      </w:r>
      <w:r>
        <w:rPr>
          <w:rFonts w:hint="eastAsia"/>
          <w:color w:val="auto"/>
          <w:lang w:val="en-US" w:eastAsia="zh-CN"/>
        </w:rPr>
        <w:t>劳</w:t>
      </w:r>
      <w:r>
        <w:rPr>
          <w:color w:val="auto"/>
        </w:rPr>
        <w:t>全面发展，根据中华人民共和国教育部令第41号《普通高等学校学生管理规定》，结合我校实际情况，特制定本办法。</w:t>
      </w:r>
    </w:p>
    <w:p>
      <w:pPr>
        <w:pStyle w:val="14"/>
        <w:spacing w:line="300" w:lineRule="exact"/>
        <w:ind w:firstLine="420"/>
        <w:jc w:val="both"/>
        <w:rPr>
          <w:color w:val="auto"/>
        </w:rPr>
      </w:pPr>
    </w:p>
    <w:p>
      <w:pPr>
        <w:pStyle w:val="18"/>
        <w:keepNext/>
        <w:keepLines/>
        <w:spacing w:after="360"/>
        <w:rPr>
          <w:color w:val="auto"/>
        </w:rPr>
      </w:pPr>
      <w:bookmarkStart w:id="33" w:name="bookmark44"/>
      <w:bookmarkStart w:id="34" w:name="bookmark45"/>
      <w:bookmarkStart w:id="35" w:name="bookmark46"/>
      <w:r>
        <w:rPr>
          <w:color w:val="auto"/>
        </w:rPr>
        <w:t>第一章</w:t>
      </w:r>
      <w:r>
        <w:rPr>
          <w:rFonts w:hint="eastAsia"/>
          <w:color w:val="auto"/>
          <w:lang w:eastAsia="zh-CN"/>
        </w:rPr>
        <w:t xml:space="preserve"> </w:t>
      </w:r>
      <w:r>
        <w:rPr>
          <w:color w:val="auto"/>
        </w:rPr>
        <w:t>入学与注册</w:t>
      </w:r>
      <w:bookmarkEnd w:id="33"/>
      <w:bookmarkEnd w:id="34"/>
      <w:bookmarkEnd w:id="35"/>
    </w:p>
    <w:p>
      <w:pPr>
        <w:pStyle w:val="14"/>
        <w:spacing w:line="300" w:lineRule="exact"/>
        <w:ind w:firstLine="420"/>
        <w:jc w:val="both"/>
        <w:rPr>
          <w:color w:val="auto"/>
        </w:rPr>
      </w:pPr>
      <w:r>
        <w:rPr>
          <w:color w:val="auto"/>
          <w:lang w:val="zh-CN" w:eastAsia="zh-CN" w:bidi="zh-CN"/>
        </w:rPr>
        <w:t>第一条</w:t>
      </w:r>
      <w:r>
        <w:rPr>
          <w:rFonts w:hint="eastAsia"/>
          <w:color w:val="auto"/>
          <w:lang w:val="zh-CN" w:eastAsia="zh-CN" w:bidi="zh-CN"/>
        </w:rPr>
        <w:t xml:space="preserve"> </w:t>
      </w:r>
      <w:r>
        <w:rPr>
          <w:color w:val="auto"/>
        </w:rPr>
        <w:t>新生入学</w:t>
      </w:r>
    </w:p>
    <w:p>
      <w:pPr>
        <w:pStyle w:val="14"/>
        <w:spacing w:line="300" w:lineRule="exact"/>
        <w:ind w:firstLine="420"/>
        <w:jc w:val="both"/>
        <w:rPr>
          <w:color w:val="auto"/>
        </w:rPr>
      </w:pPr>
      <w:r>
        <w:rPr>
          <w:color w:val="auto"/>
        </w:rPr>
        <w:t>按国家招生规定，新生须持我校录取通知书和有关证件，按规定日期到学校办理入学手续。因故不能按期入学者，由原单位或所在街道、乡镇出具证明，事先向学校请假，并获学校批准可暂缓入学，最长期限为一个月。未经请假或虽请假但逾期者，除因不可抗力等正当事由以外，视为放弃入学资格。</w:t>
      </w:r>
    </w:p>
    <w:p>
      <w:pPr>
        <w:pStyle w:val="14"/>
        <w:spacing w:line="300" w:lineRule="exact"/>
        <w:ind w:firstLine="420"/>
        <w:jc w:val="both"/>
        <w:rPr>
          <w:color w:val="auto"/>
        </w:rPr>
      </w:pPr>
      <w:r>
        <w:rPr>
          <w:color w:val="auto"/>
        </w:rPr>
        <w:t>第二条</w:t>
      </w:r>
      <w:r>
        <w:rPr>
          <w:rFonts w:hint="eastAsia"/>
          <w:color w:val="auto"/>
          <w:lang w:eastAsia="zh-CN"/>
        </w:rPr>
        <w:t xml:space="preserve"> </w:t>
      </w:r>
      <w:r>
        <w:rPr>
          <w:color w:val="auto"/>
        </w:rPr>
        <w:t>保留入学资格</w:t>
      </w:r>
    </w:p>
    <w:p>
      <w:pPr>
        <w:pStyle w:val="14"/>
        <w:tabs>
          <w:tab w:val="left" w:pos="1059"/>
        </w:tabs>
        <w:spacing w:line="300" w:lineRule="exact"/>
        <w:ind w:firstLine="420"/>
        <w:jc w:val="both"/>
        <w:rPr>
          <w:color w:val="auto"/>
        </w:rPr>
      </w:pPr>
      <w:r>
        <w:rPr>
          <w:rFonts w:hint="eastAsia"/>
          <w:color w:val="auto"/>
          <w:lang w:eastAsia="zh-CN"/>
        </w:rPr>
        <w:t>（</w:t>
      </w:r>
      <w:r>
        <w:rPr>
          <w:rFonts w:hint="eastAsia"/>
          <w:color w:val="auto"/>
          <w:lang w:val="en-US" w:eastAsia="zh-CN"/>
        </w:rPr>
        <w:t>一</w:t>
      </w:r>
      <w:r>
        <w:rPr>
          <w:rFonts w:hint="eastAsia"/>
          <w:color w:val="auto"/>
          <w:lang w:eastAsia="zh-CN"/>
        </w:rPr>
        <w:t>）</w:t>
      </w:r>
      <w:r>
        <w:rPr>
          <w:color w:val="auto"/>
        </w:rPr>
        <w:tab/>
      </w:r>
      <w:r>
        <w:rPr>
          <w:color w:val="auto"/>
        </w:rPr>
        <w:t>因特殊困难不能入学者，可以由本人向学校提出书面申请，经学校审核同意，保留入学资格一年。入学第一学期，对患有疾病，经学校指定的医院（二级甲等以上，下同） 诊断不宜在校学习的新生，可以保留入学资格一年；对征兵入伍的新生，凭入伍通知书，可申请保留入学资格至退役后两年。保留入学资格期间有严重违法乱纪行为者，取消入学资格。保留入学资格者不具有学籍。</w:t>
      </w:r>
    </w:p>
    <w:p>
      <w:pPr>
        <w:pStyle w:val="14"/>
        <w:tabs>
          <w:tab w:val="left" w:pos="1059"/>
        </w:tabs>
        <w:spacing w:line="300" w:lineRule="exact"/>
        <w:ind w:firstLine="420"/>
        <w:jc w:val="both"/>
        <w:rPr>
          <w:color w:val="auto"/>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lang w:val="en-US" w:eastAsia="zh-CN"/>
        </w:rPr>
        <w:t xml:space="preserve"> </w:t>
      </w:r>
      <w:r>
        <w:rPr>
          <w:color w:val="auto"/>
        </w:rPr>
        <w:t>因病保留入学资格且经学校指定医院诊断，符合体检要求者和因特殊困难保留入学资格需复学者，在保留入学资格期满后，应在开学后向学校申请入学，经学校批准，作为下一级新生入学。超过一个月未提出申请，视为放弃入学资格。</w:t>
      </w:r>
    </w:p>
    <w:p>
      <w:pPr>
        <w:pStyle w:val="14"/>
        <w:spacing w:line="300" w:lineRule="exact"/>
        <w:ind w:firstLine="420"/>
        <w:jc w:val="both"/>
        <w:rPr>
          <w:color w:val="auto"/>
        </w:rPr>
      </w:pPr>
      <w:r>
        <w:rPr>
          <w:color w:val="auto"/>
        </w:rPr>
        <w:t>第三条</w:t>
      </w:r>
      <w:r>
        <w:rPr>
          <w:rFonts w:hint="eastAsia"/>
          <w:color w:val="auto"/>
          <w:lang w:eastAsia="zh-CN"/>
        </w:rPr>
        <w:t xml:space="preserve"> </w:t>
      </w:r>
      <w:r>
        <w:rPr>
          <w:color w:val="auto"/>
        </w:rPr>
        <w:t>入学复査</w:t>
      </w:r>
    </w:p>
    <w:p>
      <w:pPr>
        <w:pStyle w:val="14"/>
        <w:spacing w:line="300" w:lineRule="exact"/>
        <w:ind w:firstLine="420"/>
        <w:jc w:val="both"/>
        <w:rPr>
          <w:color w:val="auto"/>
        </w:rPr>
      </w:pPr>
      <w:r>
        <w:rPr>
          <w:color w:val="auto"/>
        </w:rPr>
        <w:t>（</w:t>
      </w:r>
      <w:r>
        <w:rPr>
          <w:rFonts w:hint="eastAsia"/>
          <w:color w:val="auto"/>
          <w:lang w:eastAsia="zh-CN"/>
        </w:rPr>
        <w:t>一</w:t>
      </w:r>
      <w:r>
        <w:rPr>
          <w:color w:val="auto"/>
        </w:rPr>
        <w:t>）</w:t>
      </w:r>
      <w:r>
        <w:rPr>
          <w:rFonts w:hint="eastAsia"/>
          <w:color w:val="auto"/>
          <w:lang w:eastAsia="zh-CN"/>
        </w:rPr>
        <w:t xml:space="preserve"> </w:t>
      </w:r>
      <w:r>
        <w:rPr>
          <w:color w:val="auto"/>
        </w:rPr>
        <w:t>新生在报到入学时，学校会审查录取通知书、考生信息等证明材料，审查合格者，准予注册，取得学籍。</w:t>
      </w:r>
    </w:p>
    <w:p>
      <w:pPr>
        <w:pStyle w:val="14"/>
        <w:tabs>
          <w:tab w:val="left" w:pos="1062"/>
        </w:tabs>
        <w:spacing w:after="60" w:line="300" w:lineRule="exact"/>
        <w:ind w:firstLine="420"/>
        <w:jc w:val="both"/>
        <w:rPr>
          <w:color w:val="auto"/>
        </w:rPr>
      </w:pPr>
      <w:bookmarkStart w:id="36" w:name="bookmark49"/>
      <w:r>
        <w:rPr>
          <w:color w:val="auto"/>
        </w:rPr>
        <w:t>（</w:t>
      </w:r>
      <w:bookmarkEnd w:id="36"/>
      <w:r>
        <w:rPr>
          <w:color w:val="auto"/>
        </w:rPr>
        <w:t>二）</w:t>
      </w:r>
      <w:r>
        <w:rPr>
          <w:color w:val="auto"/>
        </w:rPr>
        <w:tab/>
      </w:r>
      <w:r>
        <w:rPr>
          <w:color w:val="auto"/>
        </w:rPr>
        <w:t>新生入学后三个月内，学校将按照国家招生规定进行复查。复查内容包括以下方面:</w:t>
      </w:r>
    </w:p>
    <w:p>
      <w:pPr>
        <w:pStyle w:val="14"/>
        <w:numPr>
          <w:ilvl w:val="0"/>
          <w:numId w:val="1"/>
        </w:numPr>
        <w:tabs>
          <w:tab w:val="left" w:pos="745"/>
        </w:tabs>
        <w:spacing w:line="300" w:lineRule="exact"/>
        <w:ind w:firstLine="420"/>
        <w:jc w:val="both"/>
        <w:rPr>
          <w:color w:val="auto"/>
        </w:rPr>
      </w:pPr>
      <w:bookmarkStart w:id="37" w:name="bookmark50"/>
      <w:bookmarkEnd w:id="37"/>
      <w:r>
        <w:rPr>
          <w:color w:val="auto"/>
        </w:rPr>
        <w:t>录取手续及程序等是否合乎国家招生规定；</w:t>
      </w:r>
    </w:p>
    <w:p>
      <w:pPr>
        <w:pStyle w:val="14"/>
        <w:numPr>
          <w:ilvl w:val="0"/>
          <w:numId w:val="1"/>
        </w:numPr>
        <w:tabs>
          <w:tab w:val="left" w:pos="764"/>
        </w:tabs>
        <w:spacing w:line="300" w:lineRule="exact"/>
        <w:ind w:firstLine="420"/>
        <w:jc w:val="both"/>
        <w:rPr>
          <w:color w:val="auto"/>
        </w:rPr>
      </w:pPr>
      <w:bookmarkStart w:id="38" w:name="bookmark51"/>
      <w:bookmarkEnd w:id="38"/>
      <w:r>
        <w:rPr>
          <w:color w:val="auto"/>
        </w:rPr>
        <w:t>所获得的录取资格是否真实、合乎相关规定；</w:t>
      </w:r>
    </w:p>
    <w:p>
      <w:pPr>
        <w:pStyle w:val="14"/>
        <w:numPr>
          <w:ilvl w:val="0"/>
          <w:numId w:val="1"/>
        </w:numPr>
        <w:tabs>
          <w:tab w:val="left" w:pos="764"/>
        </w:tabs>
        <w:spacing w:line="300" w:lineRule="exact"/>
        <w:ind w:firstLine="420"/>
        <w:jc w:val="both"/>
        <w:rPr>
          <w:color w:val="auto"/>
        </w:rPr>
      </w:pPr>
      <w:bookmarkStart w:id="39" w:name="bookmark52"/>
      <w:bookmarkEnd w:id="39"/>
      <w:r>
        <w:rPr>
          <w:color w:val="auto"/>
        </w:rPr>
        <w:t>本人及身份证明与录取通知、考生档案等是否一致；</w:t>
      </w:r>
    </w:p>
    <w:p>
      <w:pPr>
        <w:pStyle w:val="14"/>
        <w:numPr>
          <w:ilvl w:val="0"/>
          <w:numId w:val="1"/>
        </w:numPr>
        <w:tabs>
          <w:tab w:val="left" w:pos="771"/>
        </w:tabs>
        <w:spacing w:line="300" w:lineRule="exact"/>
        <w:ind w:firstLine="420"/>
        <w:jc w:val="both"/>
        <w:rPr>
          <w:color w:val="auto"/>
        </w:rPr>
      </w:pPr>
      <w:bookmarkStart w:id="40" w:name="bookmark53"/>
      <w:bookmarkEnd w:id="40"/>
      <w:r>
        <w:rPr>
          <w:color w:val="auto"/>
        </w:rPr>
        <w:t>身心健康状况是否符合报考专业或者专业类别体检要求，能否保证在校正常学习、生活；</w:t>
      </w:r>
    </w:p>
    <w:p>
      <w:pPr>
        <w:pStyle w:val="14"/>
        <w:numPr>
          <w:ilvl w:val="0"/>
          <w:numId w:val="1"/>
        </w:numPr>
        <w:tabs>
          <w:tab w:val="left" w:pos="774"/>
        </w:tabs>
        <w:spacing w:line="300" w:lineRule="exact"/>
        <w:ind w:firstLine="420"/>
        <w:jc w:val="both"/>
        <w:rPr>
          <w:color w:val="auto"/>
        </w:rPr>
      </w:pPr>
      <w:bookmarkStart w:id="41" w:name="bookmark54"/>
      <w:bookmarkEnd w:id="41"/>
      <w:r>
        <w:rPr>
          <w:color w:val="auto"/>
        </w:rPr>
        <w:t>艺术、体育等特殊类型录取学生的专业水平是否符合录取要求。</w:t>
      </w:r>
    </w:p>
    <w:p>
      <w:pPr>
        <w:pStyle w:val="14"/>
        <w:tabs>
          <w:tab w:val="left" w:pos="1059"/>
        </w:tabs>
        <w:spacing w:line="300" w:lineRule="exact"/>
        <w:ind w:firstLine="420"/>
        <w:jc w:val="both"/>
        <w:rPr>
          <w:color w:val="auto"/>
        </w:rPr>
      </w:pPr>
      <w:bookmarkStart w:id="42" w:name="bookmark55"/>
      <w:r>
        <w:rPr>
          <w:color w:val="auto"/>
        </w:rPr>
        <w:t>（</w:t>
      </w:r>
      <w:bookmarkEnd w:id="42"/>
      <w:r>
        <w:rPr>
          <w:color w:val="auto"/>
        </w:rPr>
        <w:t>三）</w:t>
      </w:r>
      <w:r>
        <w:rPr>
          <w:color w:val="auto"/>
        </w:rPr>
        <w:tab/>
      </w:r>
      <w:r>
        <w:rPr>
          <w:color w:val="auto"/>
        </w:rPr>
        <w:t>凡属弄虚作假、徇私舞弊取得学籍者，一经查实，立即取消学籍。情节恶劣者， 报请有关部门查究。</w:t>
      </w:r>
    </w:p>
    <w:p>
      <w:pPr>
        <w:pStyle w:val="14"/>
        <w:spacing w:after="160" w:line="300" w:lineRule="exact"/>
        <w:ind w:firstLine="420"/>
        <w:jc w:val="both"/>
        <w:rPr>
          <w:color w:val="auto"/>
        </w:rPr>
      </w:pPr>
      <w:r>
        <w:rPr>
          <w:color w:val="auto"/>
        </w:rPr>
        <w:t>第四条</w:t>
      </w:r>
      <w:r>
        <w:rPr>
          <w:rFonts w:hint="eastAsia"/>
          <w:color w:val="auto"/>
          <w:lang w:eastAsia="zh-CN"/>
        </w:rPr>
        <w:t xml:space="preserve"> </w:t>
      </w:r>
      <w:r>
        <w:rPr>
          <w:color w:val="auto"/>
        </w:rPr>
        <w:t>学籍注册</w:t>
      </w:r>
    </w:p>
    <w:p>
      <w:pPr>
        <w:pStyle w:val="14"/>
        <w:spacing w:line="300" w:lineRule="exact"/>
        <w:ind w:firstLine="420"/>
        <w:jc w:val="both"/>
        <w:rPr>
          <w:color w:val="auto"/>
        </w:rPr>
      </w:pPr>
      <w:r>
        <w:rPr>
          <w:color w:val="auto"/>
        </w:rPr>
        <w:t>具有学籍的学生每学期开学时应按规定缴纳有关费用后，持缴费凭证、学生证到所在学院办公室办理注册手续。不能如期注册者，应当事先办理暂缓注册手续。未按学校规定缴纳有关费用或者其他不符合注册条件的学生不予注册。</w:t>
      </w:r>
    </w:p>
    <w:p>
      <w:pPr>
        <w:pStyle w:val="14"/>
        <w:spacing w:line="300" w:lineRule="exact"/>
        <w:ind w:firstLine="420"/>
        <w:jc w:val="both"/>
        <w:rPr>
          <w:color w:val="auto"/>
        </w:rPr>
      </w:pPr>
      <w:r>
        <w:rPr>
          <w:color w:val="auto"/>
        </w:rPr>
        <w:t>家庭经济困难的学生可以申请贷款或者其他形式的资助,办理有关手续后注册。</w:t>
      </w:r>
    </w:p>
    <w:p>
      <w:pPr>
        <w:pStyle w:val="14"/>
        <w:spacing w:line="300" w:lineRule="exact"/>
        <w:ind w:firstLine="420"/>
        <w:jc w:val="both"/>
        <w:rPr>
          <w:color w:val="auto"/>
        </w:rPr>
      </w:pPr>
      <w:r>
        <w:rPr>
          <w:color w:val="auto"/>
        </w:rPr>
        <w:t>第五条</w:t>
      </w:r>
      <w:r>
        <w:rPr>
          <w:rFonts w:hint="eastAsia"/>
          <w:color w:val="auto"/>
          <w:lang w:eastAsia="zh-CN"/>
        </w:rPr>
        <w:t xml:space="preserve"> </w:t>
      </w:r>
      <w:r>
        <w:rPr>
          <w:color w:val="auto"/>
        </w:rPr>
        <w:t>学制与学习年限</w:t>
      </w:r>
    </w:p>
    <w:p>
      <w:pPr>
        <w:pStyle w:val="14"/>
        <w:spacing w:after="360" w:line="300" w:lineRule="exact"/>
        <w:ind w:firstLine="420"/>
        <w:jc w:val="both"/>
        <w:rPr>
          <w:color w:val="auto"/>
        </w:rPr>
      </w:pPr>
      <w:r>
        <w:rPr>
          <w:color w:val="auto"/>
        </w:rPr>
        <w:t>本科学制为四年。本科学生在籍完成学业最短年限为三年，最长不超过六年（含休学、延长学习</w:t>
      </w:r>
      <w:r>
        <w:rPr>
          <w:rFonts w:hint="eastAsia"/>
          <w:color w:val="auto"/>
          <w:lang w:val="en-US" w:eastAsia="zh-CN"/>
        </w:rPr>
        <w:t>年限等，下同</w:t>
      </w:r>
      <w:r>
        <w:rPr>
          <w:color w:val="auto"/>
        </w:rPr>
        <w:t>）；专转本学生在籍时间最长不超过三年（含休学、延长学习</w:t>
      </w:r>
      <w:r>
        <w:rPr>
          <w:rFonts w:hint="eastAsia"/>
          <w:color w:val="auto"/>
          <w:lang w:val="en-US" w:eastAsia="zh-CN"/>
        </w:rPr>
        <w:t>年限等</w:t>
      </w:r>
      <w:r>
        <w:rPr>
          <w:color w:val="auto"/>
        </w:rPr>
        <w:t>）</w:t>
      </w:r>
      <w:r>
        <w:rPr>
          <w:rFonts w:hint="eastAsia"/>
          <w:color w:val="auto"/>
        </w:rPr>
        <w:t>。经学校审定为休学创业的学生，学习年限可再延长，时间不超过</w:t>
      </w:r>
      <w:r>
        <w:rPr>
          <w:rFonts w:cs="Times New Roman"/>
          <w:color w:val="auto"/>
        </w:rPr>
        <w:t>2</w:t>
      </w:r>
      <w:r>
        <w:rPr>
          <w:rFonts w:hint="eastAsia"/>
          <w:color w:val="auto"/>
        </w:rPr>
        <w:t>年，具体按相关规定执行。</w:t>
      </w:r>
    </w:p>
    <w:p>
      <w:pPr>
        <w:pStyle w:val="18"/>
        <w:keepNext/>
        <w:keepLines/>
        <w:rPr>
          <w:color w:val="auto"/>
        </w:rPr>
      </w:pPr>
      <w:bookmarkStart w:id="43" w:name="bookmark57"/>
      <w:bookmarkStart w:id="44" w:name="bookmark58"/>
      <w:bookmarkStart w:id="45" w:name="bookmark56"/>
      <w:r>
        <w:rPr>
          <w:color w:val="auto"/>
        </w:rPr>
        <w:t>第二章</w:t>
      </w:r>
      <w:r>
        <w:rPr>
          <w:rFonts w:hint="eastAsia"/>
          <w:color w:val="auto"/>
          <w:lang w:eastAsia="zh-CN"/>
        </w:rPr>
        <w:t xml:space="preserve"> </w:t>
      </w:r>
      <w:r>
        <w:rPr>
          <w:color w:val="auto"/>
        </w:rPr>
        <w:t>专业学习与课程修读</w:t>
      </w:r>
      <w:bookmarkEnd w:id="43"/>
      <w:bookmarkEnd w:id="44"/>
      <w:bookmarkEnd w:id="45"/>
    </w:p>
    <w:p>
      <w:pPr>
        <w:pStyle w:val="14"/>
        <w:spacing w:line="300" w:lineRule="exact"/>
        <w:ind w:firstLine="420"/>
        <w:jc w:val="both"/>
        <w:rPr>
          <w:color w:val="auto"/>
        </w:rPr>
      </w:pPr>
      <w:r>
        <w:rPr>
          <w:color w:val="auto"/>
        </w:rPr>
        <w:t>第六条</w:t>
      </w:r>
      <w:r>
        <w:rPr>
          <w:rFonts w:hint="eastAsia"/>
          <w:color w:val="auto"/>
          <w:lang w:eastAsia="zh-CN"/>
        </w:rPr>
        <w:t xml:space="preserve"> </w:t>
      </w:r>
      <w:r>
        <w:rPr>
          <w:color w:val="auto"/>
        </w:rPr>
        <w:t>专业学习</w:t>
      </w:r>
    </w:p>
    <w:p>
      <w:pPr>
        <w:pStyle w:val="14"/>
        <w:adjustRightInd w:val="0"/>
        <w:snapToGrid w:val="0"/>
        <w:spacing w:line="300" w:lineRule="exact"/>
        <w:ind w:firstLine="540" w:firstLineChars="300"/>
        <w:jc w:val="both"/>
        <w:rPr>
          <w:color w:val="auto"/>
        </w:rPr>
      </w:pPr>
      <w:bookmarkStart w:id="46" w:name="bookmark59"/>
      <w:r>
        <w:rPr>
          <w:color w:val="auto"/>
        </w:rPr>
        <w:t>（</w:t>
      </w:r>
      <w:bookmarkEnd w:id="46"/>
      <w:r>
        <w:rPr>
          <w:color w:val="auto"/>
        </w:rPr>
        <w:t>一）</w:t>
      </w:r>
      <w:r>
        <w:rPr>
          <w:rFonts w:hint="eastAsia"/>
          <w:color w:val="auto"/>
          <w:lang w:eastAsia="zh-CN"/>
        </w:rPr>
        <w:t xml:space="preserve"> </w:t>
      </w:r>
      <w:r>
        <w:rPr>
          <w:color w:val="auto"/>
        </w:rPr>
        <w:t>学生应参加所在专业培养方案规定的课程和各种教育教学环节（以下统称课程）</w:t>
      </w:r>
    </w:p>
    <w:p>
      <w:pPr>
        <w:pStyle w:val="14"/>
        <w:adjustRightInd w:val="0"/>
        <w:snapToGrid w:val="0"/>
        <w:spacing w:line="300" w:lineRule="exact"/>
        <w:ind w:firstLine="540" w:firstLineChars="300"/>
        <w:jc w:val="both"/>
        <w:rPr>
          <w:color w:val="auto"/>
          <w:lang w:eastAsia="zh-CN"/>
        </w:rPr>
      </w:pPr>
      <w:bookmarkStart w:id="47" w:name="bookmark60"/>
      <w:r>
        <w:rPr>
          <w:rFonts w:hint="eastAsia"/>
          <w:color w:val="auto"/>
          <w:lang w:eastAsia="zh-CN"/>
        </w:rPr>
        <w:t>（二</w:t>
      </w:r>
      <w:r>
        <w:rPr>
          <w:color w:val="auto"/>
        </w:rPr>
        <w:t>）</w:t>
      </w:r>
      <w:bookmarkEnd w:id="47"/>
      <w:r>
        <w:rPr>
          <w:rFonts w:hint="eastAsia"/>
          <w:color w:val="auto"/>
          <w:lang w:eastAsia="zh-CN"/>
        </w:rPr>
        <w:t xml:space="preserve"> </w:t>
      </w:r>
      <w:r>
        <w:rPr>
          <w:color w:val="auto"/>
        </w:rPr>
        <w:t>学生修读课程分为必修课、选修课。学生应修满培养方案中规定的学分数。必修课和实践性教学环节必须修读；选修课</w:t>
      </w:r>
      <w:r>
        <w:rPr>
          <w:rFonts w:hint="eastAsia"/>
          <w:color w:val="auto"/>
          <w:lang w:val="en-US" w:eastAsia="zh-CN"/>
        </w:rPr>
        <w:t>修满培养方案规定的要求即可</w:t>
      </w:r>
      <w:r>
        <w:rPr>
          <w:color w:val="auto"/>
        </w:rPr>
        <w:t>。</w:t>
      </w:r>
    </w:p>
    <w:p>
      <w:pPr>
        <w:pStyle w:val="14"/>
        <w:adjustRightInd w:val="0"/>
        <w:snapToGrid w:val="0"/>
        <w:spacing w:line="300" w:lineRule="exact"/>
        <w:ind w:firstLine="420"/>
        <w:jc w:val="both"/>
        <w:rPr>
          <w:color w:val="auto"/>
        </w:rPr>
      </w:pPr>
      <w:bookmarkStart w:id="48" w:name="bookmark61"/>
      <w:r>
        <w:rPr>
          <w:color w:val="auto"/>
        </w:rPr>
        <w:t>（</w:t>
      </w:r>
      <w:bookmarkEnd w:id="48"/>
      <w:r>
        <w:rPr>
          <w:color w:val="auto"/>
        </w:rPr>
        <w:t>三）</w:t>
      </w:r>
      <w:r>
        <w:rPr>
          <w:rFonts w:hint="eastAsia"/>
          <w:color w:val="auto"/>
          <w:lang w:eastAsia="zh-CN"/>
        </w:rPr>
        <w:t xml:space="preserve"> </w:t>
      </w:r>
      <w:r>
        <w:rPr>
          <w:color w:val="auto"/>
        </w:rPr>
        <w:t>选修课的管理按《南京航空航天大学金城学院选修课暂行管理规定》执行。</w:t>
      </w:r>
    </w:p>
    <w:p>
      <w:pPr>
        <w:pStyle w:val="14"/>
        <w:spacing w:line="300" w:lineRule="exact"/>
        <w:ind w:firstLine="420"/>
        <w:jc w:val="both"/>
        <w:rPr>
          <w:color w:val="auto"/>
        </w:rPr>
      </w:pPr>
      <w:bookmarkStart w:id="49" w:name="bookmark62"/>
      <w:r>
        <w:rPr>
          <w:color w:val="auto"/>
        </w:rPr>
        <w:t>（</w:t>
      </w:r>
      <w:bookmarkEnd w:id="49"/>
      <w:r>
        <w:rPr>
          <w:color w:val="auto"/>
        </w:rPr>
        <w:t>四）</w:t>
      </w:r>
      <w:r>
        <w:rPr>
          <w:rFonts w:hint="eastAsia"/>
          <w:color w:val="auto"/>
          <w:lang w:eastAsia="zh-CN"/>
        </w:rPr>
        <w:t xml:space="preserve"> </w:t>
      </w:r>
      <w:r>
        <w:rPr>
          <w:color w:val="auto"/>
        </w:rPr>
        <w:t>采用课程绩点评价学生的课程学习质量，采用平均学分绩点综合评价学生专业学习质量，其计算方法见附件。</w:t>
      </w:r>
    </w:p>
    <w:p>
      <w:pPr>
        <w:pStyle w:val="14"/>
        <w:spacing w:line="300" w:lineRule="exact"/>
        <w:ind w:firstLine="420"/>
        <w:jc w:val="both"/>
        <w:rPr>
          <w:color w:val="auto"/>
        </w:rPr>
      </w:pPr>
      <w:r>
        <w:rPr>
          <w:color w:val="auto"/>
        </w:rPr>
        <w:t>第七条</w:t>
      </w:r>
      <w:r>
        <w:rPr>
          <w:rFonts w:hint="eastAsia"/>
          <w:color w:val="auto"/>
          <w:lang w:eastAsia="zh-CN"/>
        </w:rPr>
        <w:t xml:space="preserve"> </w:t>
      </w:r>
      <w:r>
        <w:rPr>
          <w:color w:val="auto"/>
        </w:rPr>
        <w:t>课程免修</w:t>
      </w:r>
    </w:p>
    <w:p>
      <w:pPr>
        <w:pStyle w:val="14"/>
        <w:tabs>
          <w:tab w:val="left" w:pos="1059"/>
        </w:tabs>
        <w:spacing w:line="300" w:lineRule="exact"/>
        <w:ind w:firstLine="420"/>
        <w:jc w:val="both"/>
        <w:rPr>
          <w:color w:val="auto"/>
          <w:lang w:eastAsia="zh-CN"/>
        </w:rPr>
      </w:pPr>
      <w:bookmarkStart w:id="50" w:name="bookmark63"/>
      <w:r>
        <w:rPr>
          <w:color w:val="auto"/>
        </w:rPr>
        <w:t>（</w:t>
      </w:r>
      <w:bookmarkEnd w:id="50"/>
      <w:r>
        <w:rPr>
          <w:color w:val="auto"/>
        </w:rPr>
        <w:t>一）</w:t>
      </w:r>
      <w:r>
        <w:rPr>
          <w:color w:val="auto"/>
        </w:rPr>
        <w:tab/>
      </w:r>
      <w:r>
        <w:rPr>
          <w:color w:val="auto"/>
        </w:rPr>
        <w:t>学有余力且前一学期平均学分绩点不低于</w:t>
      </w:r>
      <w:r>
        <w:rPr>
          <w:color w:val="auto"/>
          <w:lang w:val="en-US" w:eastAsia="zh-CN"/>
        </w:rPr>
        <w:t>3.0</w:t>
      </w:r>
      <w:r>
        <w:rPr>
          <w:rFonts w:hint="eastAsia" w:cs="Times New Roman"/>
          <w:color w:val="auto"/>
          <w:lang w:val="en-US" w:eastAsia="zh-CN" w:bidi="en-US"/>
        </w:rPr>
        <w:t>，</w:t>
      </w:r>
      <w:r>
        <w:rPr>
          <w:color w:val="auto"/>
        </w:rPr>
        <w:t>或有特殊专长</w:t>
      </w:r>
      <w:r>
        <w:rPr>
          <w:rFonts w:hint="eastAsia"/>
          <w:color w:val="auto"/>
          <w:lang w:val="en-US" w:eastAsia="zh-CN"/>
        </w:rPr>
        <w:t>先经任课</w:t>
      </w:r>
      <w:r>
        <w:rPr>
          <w:color w:val="auto"/>
        </w:rPr>
        <w:t>教师同意并经</w:t>
      </w:r>
      <w:r>
        <w:rPr>
          <w:rFonts w:hint="eastAsia"/>
          <w:color w:val="auto"/>
          <w:lang w:val="en-US" w:eastAsia="zh-CN"/>
        </w:rPr>
        <w:t>所在</w:t>
      </w:r>
      <w:r>
        <w:rPr>
          <w:color w:val="auto"/>
        </w:rPr>
        <w:t>学院认定的学生，通过自学完成专业培养方案规定的课程的学习，确认已掌握相应的知识和具备相应的能力，达到课程教学大纲的要求，可以申请免修考试。</w:t>
      </w:r>
    </w:p>
    <w:p>
      <w:pPr>
        <w:pStyle w:val="14"/>
        <w:tabs>
          <w:tab w:val="left" w:pos="1064"/>
        </w:tabs>
        <w:spacing w:line="300" w:lineRule="exact"/>
        <w:ind w:firstLine="420"/>
        <w:jc w:val="both"/>
        <w:rPr>
          <w:color w:val="auto"/>
        </w:rPr>
      </w:pPr>
      <w:bookmarkStart w:id="51" w:name="bookmark64"/>
      <w:r>
        <w:rPr>
          <w:color w:val="auto"/>
        </w:rPr>
        <w:t>（</w:t>
      </w:r>
      <w:bookmarkEnd w:id="51"/>
      <w:r>
        <w:rPr>
          <w:color w:val="auto"/>
        </w:rPr>
        <w:t>二）</w:t>
      </w:r>
      <w:r>
        <w:rPr>
          <w:color w:val="auto"/>
        </w:rPr>
        <w:tab/>
      </w:r>
      <w:r>
        <w:rPr>
          <w:color w:val="auto"/>
        </w:rPr>
        <w:t>学生应在选课时申请下学期免修课程，并于下学期开学注册时填写</w:t>
      </w:r>
      <w:r>
        <w:rPr>
          <w:rFonts w:hint="eastAsia"/>
          <w:color w:val="auto"/>
          <w:lang w:eastAsia="zh-CN"/>
        </w:rPr>
        <w:t>《</w:t>
      </w:r>
      <w:r>
        <w:rPr>
          <w:color w:val="auto"/>
          <w:lang w:val="zh-CN" w:eastAsia="zh-CN" w:bidi="zh-CN"/>
        </w:rPr>
        <w:t>免修</w:t>
      </w:r>
      <w:r>
        <w:rPr>
          <w:color w:val="auto"/>
        </w:rPr>
        <w:t>课程考试申请表</w:t>
      </w:r>
      <w:r>
        <w:rPr>
          <w:rFonts w:hint="eastAsia"/>
          <w:color w:val="auto"/>
          <w:lang w:eastAsia="zh-CN"/>
        </w:rPr>
        <w:t>》</w:t>
      </w:r>
      <w:r>
        <w:rPr>
          <w:color w:val="auto"/>
        </w:rPr>
        <w:t>及交验自学材料（包括作业习题），经任课教师同意，学院批准后，可参加开学初的免修考试。</w:t>
      </w:r>
    </w:p>
    <w:p>
      <w:pPr>
        <w:pStyle w:val="14"/>
        <w:tabs>
          <w:tab w:val="left" w:pos="1066"/>
        </w:tabs>
        <w:spacing w:line="300" w:lineRule="exact"/>
        <w:ind w:firstLine="420"/>
        <w:jc w:val="both"/>
        <w:rPr>
          <w:color w:val="auto"/>
        </w:rPr>
      </w:pPr>
      <w:bookmarkStart w:id="52" w:name="bookmark65"/>
      <w:r>
        <w:rPr>
          <w:color w:val="auto"/>
        </w:rPr>
        <w:t>（</w:t>
      </w:r>
      <w:bookmarkEnd w:id="52"/>
      <w:r>
        <w:rPr>
          <w:color w:val="auto"/>
        </w:rPr>
        <w:t>三）</w:t>
      </w:r>
      <w:r>
        <w:rPr>
          <w:color w:val="auto"/>
        </w:rPr>
        <w:tab/>
      </w:r>
      <w:r>
        <w:rPr>
          <w:color w:val="auto"/>
        </w:rPr>
        <w:t>课程免修每学期一般不得超过二门，凡应重修的课程不得申请免修。</w:t>
      </w:r>
    </w:p>
    <w:p>
      <w:pPr>
        <w:pStyle w:val="14"/>
        <w:tabs>
          <w:tab w:val="left" w:pos="1059"/>
        </w:tabs>
        <w:spacing w:line="300" w:lineRule="exact"/>
        <w:ind w:firstLine="420"/>
        <w:jc w:val="both"/>
        <w:rPr>
          <w:color w:val="auto"/>
          <w:lang w:eastAsia="zh-CN"/>
        </w:rPr>
      </w:pPr>
      <w:bookmarkStart w:id="53" w:name="bookmark66"/>
      <w:r>
        <w:rPr>
          <w:color w:val="auto"/>
        </w:rPr>
        <w:t>（</w:t>
      </w:r>
      <w:bookmarkEnd w:id="53"/>
      <w:r>
        <w:rPr>
          <w:color w:val="auto"/>
        </w:rPr>
        <w:t>四）</w:t>
      </w:r>
      <w:r>
        <w:rPr>
          <w:color w:val="auto"/>
        </w:rPr>
        <w:tab/>
      </w:r>
      <w:r>
        <w:rPr>
          <w:color w:val="auto"/>
        </w:rPr>
        <w:t>思想政治理论课、体育课和军训课、实验课、课程设计、毕业设计（论文）、教学实习、 生产实习</w:t>
      </w:r>
      <w:r>
        <w:rPr>
          <w:rFonts w:hint="eastAsia"/>
          <w:color w:val="auto"/>
          <w:lang w:eastAsia="zh-CN"/>
        </w:rPr>
        <w:t>、</w:t>
      </w:r>
      <w:r>
        <w:rPr>
          <w:rFonts w:hint="eastAsia"/>
          <w:color w:val="auto"/>
          <w:lang w:val="en-US" w:eastAsia="zh-CN"/>
        </w:rPr>
        <w:t>劳动教育</w:t>
      </w:r>
      <w:r>
        <w:rPr>
          <w:color w:val="auto"/>
        </w:rPr>
        <w:t>等实践性环节不得免修</w:t>
      </w:r>
      <w:r>
        <w:rPr>
          <w:rFonts w:hint="eastAsia"/>
          <w:color w:val="auto"/>
          <w:lang w:eastAsia="zh-CN"/>
        </w:rPr>
        <w:t>。</w:t>
      </w:r>
    </w:p>
    <w:p>
      <w:pPr>
        <w:pStyle w:val="14"/>
        <w:tabs>
          <w:tab w:val="left" w:pos="1064"/>
        </w:tabs>
        <w:spacing w:line="300" w:lineRule="exact"/>
        <w:ind w:firstLine="420"/>
        <w:jc w:val="both"/>
        <w:rPr>
          <w:color w:val="auto"/>
        </w:rPr>
      </w:pPr>
      <w:bookmarkStart w:id="54" w:name="bookmark67"/>
      <w:r>
        <w:rPr>
          <w:color w:val="auto"/>
        </w:rPr>
        <w:t>（</w:t>
      </w:r>
      <w:bookmarkEnd w:id="54"/>
      <w:r>
        <w:rPr>
          <w:color w:val="auto"/>
        </w:rPr>
        <w:t>五）</w:t>
      </w:r>
      <w:r>
        <w:rPr>
          <w:color w:val="auto"/>
        </w:rPr>
        <w:tab/>
      </w:r>
      <w:r>
        <w:rPr>
          <w:color w:val="auto"/>
        </w:rPr>
        <w:t>考试课程的免修考核成绩应达到</w:t>
      </w:r>
      <w:r>
        <w:rPr>
          <w:rFonts w:cs="Times New Roman"/>
          <w:color w:val="auto"/>
        </w:rPr>
        <w:t>70</w:t>
      </w:r>
      <w:r>
        <w:rPr>
          <w:color w:val="auto"/>
        </w:rPr>
        <w:t>分，考查课程的免修考核成绩应达到中等，若免修课程含有实验、大作业、课程设计等实践性环节，则须参加实践性环节且获得合格成绩后方可取得该课程学分。</w:t>
      </w:r>
    </w:p>
    <w:p>
      <w:pPr>
        <w:pStyle w:val="14"/>
        <w:tabs>
          <w:tab w:val="left" w:pos="1059"/>
        </w:tabs>
        <w:spacing w:line="300" w:lineRule="exact"/>
        <w:ind w:firstLine="420"/>
        <w:jc w:val="both"/>
        <w:rPr>
          <w:color w:val="auto"/>
        </w:rPr>
      </w:pPr>
      <w:bookmarkStart w:id="55" w:name="bookmark68"/>
      <w:r>
        <w:rPr>
          <w:color w:val="auto"/>
        </w:rPr>
        <w:t>（</w:t>
      </w:r>
      <w:bookmarkEnd w:id="55"/>
      <w:r>
        <w:rPr>
          <w:color w:val="auto"/>
        </w:rPr>
        <w:t>六）</w:t>
      </w:r>
      <w:r>
        <w:rPr>
          <w:color w:val="auto"/>
        </w:rPr>
        <w:tab/>
      </w:r>
      <w:r>
        <w:rPr>
          <w:color w:val="auto"/>
        </w:rPr>
        <w:t>免修考核成绩以实得分数记载，并在成绩档案中加注</w:t>
      </w:r>
      <w:r>
        <w:rPr>
          <w:color w:val="auto"/>
          <w:lang w:val="zh-CN" w:eastAsia="zh-CN" w:bidi="zh-CN"/>
        </w:rPr>
        <w:t>“免</w:t>
      </w:r>
      <w:r>
        <w:rPr>
          <w:color w:val="auto"/>
        </w:rPr>
        <w:t>修”字样，其与课程绩点对应关系见附件；学生拟参加已准许免修课程的正常修读，应在规定时间内注销免修成绩。</w:t>
      </w:r>
    </w:p>
    <w:p>
      <w:pPr>
        <w:pStyle w:val="14"/>
        <w:tabs>
          <w:tab w:val="left" w:pos="1064"/>
        </w:tabs>
        <w:spacing w:line="300" w:lineRule="exact"/>
        <w:ind w:firstLine="420"/>
        <w:jc w:val="both"/>
        <w:rPr>
          <w:color w:val="auto"/>
        </w:rPr>
      </w:pPr>
      <w:bookmarkStart w:id="56" w:name="bookmark69"/>
      <w:r>
        <w:rPr>
          <w:color w:val="auto"/>
        </w:rPr>
        <w:t>（</w:t>
      </w:r>
      <w:bookmarkEnd w:id="56"/>
      <w:r>
        <w:rPr>
          <w:color w:val="auto"/>
        </w:rPr>
        <w:t>七）</w:t>
      </w:r>
      <w:r>
        <w:rPr>
          <w:color w:val="auto"/>
        </w:rPr>
        <w:tab/>
      </w:r>
      <w:r>
        <w:rPr>
          <w:color w:val="auto"/>
        </w:rPr>
        <w:t>在校学生或新生参军入伍退役复学或入学后</w:t>
      </w:r>
      <w:r>
        <w:rPr>
          <w:rFonts w:hint="eastAsia"/>
          <w:color w:val="auto"/>
        </w:rPr>
        <w:t>，可免修相关课程，具体见《南京航空航天大学金城学院鼓励大学生参军入伍若干规定（试行）》。</w:t>
      </w:r>
    </w:p>
    <w:p>
      <w:pPr>
        <w:pStyle w:val="14"/>
        <w:spacing w:line="300" w:lineRule="exact"/>
        <w:ind w:firstLine="420"/>
        <w:jc w:val="both"/>
        <w:rPr>
          <w:color w:val="auto"/>
        </w:rPr>
      </w:pPr>
      <w:r>
        <w:rPr>
          <w:color w:val="auto"/>
        </w:rPr>
        <w:t>第八条</w:t>
      </w:r>
      <w:r>
        <w:rPr>
          <w:rFonts w:hint="eastAsia"/>
          <w:color w:val="auto"/>
          <w:lang w:eastAsia="zh-CN"/>
        </w:rPr>
        <w:t xml:space="preserve"> </w:t>
      </w:r>
      <w:r>
        <w:rPr>
          <w:color w:val="auto"/>
        </w:rPr>
        <w:t>课程免听</w:t>
      </w:r>
    </w:p>
    <w:p>
      <w:pPr>
        <w:pStyle w:val="14"/>
        <w:tabs>
          <w:tab w:val="left" w:pos="1054"/>
        </w:tabs>
        <w:spacing w:line="300" w:lineRule="exact"/>
        <w:ind w:firstLine="420"/>
        <w:jc w:val="both"/>
        <w:rPr>
          <w:color w:val="auto"/>
          <w:lang w:eastAsia="zh-CN"/>
        </w:rPr>
      </w:pPr>
      <w:bookmarkStart w:id="57" w:name="bookmark70"/>
      <w:r>
        <w:rPr>
          <w:color w:val="auto"/>
        </w:rPr>
        <w:t>（</w:t>
      </w:r>
      <w:bookmarkEnd w:id="57"/>
      <w:r>
        <w:rPr>
          <w:color w:val="auto"/>
        </w:rPr>
        <w:t>一）</w:t>
      </w:r>
      <w:r>
        <w:rPr>
          <w:color w:val="auto"/>
        </w:rPr>
        <w:tab/>
      </w:r>
      <w:r>
        <w:rPr>
          <w:color w:val="auto"/>
        </w:rPr>
        <w:t>自学能力较强、成绩优秀的学生，可于每学期开学注册提出申请，填写</w:t>
      </w:r>
      <w:r>
        <w:rPr>
          <w:rFonts w:hint="eastAsia"/>
          <w:color w:val="auto"/>
          <w:lang w:eastAsia="zh-CN"/>
        </w:rPr>
        <w:t>《</w:t>
      </w:r>
      <w:r>
        <w:rPr>
          <w:color w:val="auto"/>
          <w:lang w:val="zh-CN" w:eastAsia="zh-CN" w:bidi="zh-CN"/>
        </w:rPr>
        <w:t>课</w:t>
      </w:r>
      <w:r>
        <w:rPr>
          <w:color w:val="auto"/>
        </w:rPr>
        <w:t>程免听申请表</w:t>
      </w:r>
      <w:r>
        <w:rPr>
          <w:rFonts w:hint="eastAsia"/>
          <w:color w:val="auto"/>
          <w:lang w:eastAsia="zh-CN"/>
        </w:rPr>
        <w:t>》</w:t>
      </w:r>
      <w:r>
        <w:rPr>
          <w:color w:val="auto"/>
        </w:rPr>
        <w:t>，经任课教师同意，学院批准，准予免听或间隔听课，但应完成作业、实践性环节和任课教师要求的考核</w:t>
      </w:r>
      <w:r>
        <w:rPr>
          <w:rFonts w:hint="eastAsia"/>
          <w:color w:val="auto"/>
          <w:lang w:eastAsia="zh-CN"/>
        </w:rPr>
        <w:t>。</w:t>
      </w:r>
    </w:p>
    <w:p>
      <w:pPr>
        <w:pStyle w:val="14"/>
        <w:tabs>
          <w:tab w:val="left" w:pos="1062"/>
        </w:tabs>
        <w:spacing w:line="300" w:lineRule="exact"/>
        <w:ind w:firstLine="420"/>
        <w:jc w:val="both"/>
        <w:rPr>
          <w:color w:val="auto"/>
          <w:lang w:eastAsia="zh-CN"/>
        </w:rPr>
      </w:pPr>
      <w:bookmarkStart w:id="58" w:name="bookmark71"/>
      <w:r>
        <w:rPr>
          <w:color w:val="auto"/>
        </w:rPr>
        <w:t>（</w:t>
      </w:r>
      <w:bookmarkEnd w:id="58"/>
      <w:r>
        <w:rPr>
          <w:color w:val="auto"/>
        </w:rPr>
        <w:t>二）</w:t>
      </w:r>
      <w:r>
        <w:rPr>
          <w:color w:val="auto"/>
        </w:rPr>
        <w:tab/>
      </w:r>
      <w:r>
        <w:rPr>
          <w:color w:val="auto"/>
        </w:rPr>
        <w:t>思想政治理论课、体育课</w:t>
      </w:r>
      <w:r>
        <w:rPr>
          <w:rFonts w:hint="eastAsia"/>
          <w:color w:val="auto"/>
          <w:lang w:eastAsia="zh-CN"/>
        </w:rPr>
        <w:t>、</w:t>
      </w:r>
      <w:r>
        <w:rPr>
          <w:color w:val="auto"/>
        </w:rPr>
        <w:t>军训课、实验课、课程设计、毕业设计（论文）、教学实习、 生产实习</w:t>
      </w:r>
      <w:r>
        <w:rPr>
          <w:rFonts w:hint="eastAsia"/>
          <w:color w:val="auto"/>
          <w:lang w:eastAsia="zh-CN"/>
        </w:rPr>
        <w:t>、</w:t>
      </w:r>
      <w:r>
        <w:rPr>
          <w:rFonts w:hint="eastAsia"/>
          <w:color w:val="auto"/>
          <w:lang w:val="en-US" w:eastAsia="zh-CN"/>
        </w:rPr>
        <w:t>劳动教育</w:t>
      </w:r>
      <w:r>
        <w:rPr>
          <w:color w:val="auto"/>
        </w:rPr>
        <w:t>等不得免听。</w:t>
      </w:r>
    </w:p>
    <w:p>
      <w:pPr>
        <w:pStyle w:val="14"/>
        <w:spacing w:line="300" w:lineRule="exact"/>
        <w:ind w:firstLine="420"/>
        <w:jc w:val="both"/>
        <w:rPr>
          <w:color w:val="auto"/>
        </w:rPr>
      </w:pPr>
      <w:r>
        <w:rPr>
          <w:color w:val="auto"/>
        </w:rPr>
        <w:t>第九条</w:t>
      </w:r>
      <w:r>
        <w:rPr>
          <w:rFonts w:hint="eastAsia"/>
          <w:color w:val="auto"/>
          <w:lang w:eastAsia="zh-CN"/>
        </w:rPr>
        <w:t xml:space="preserve"> </w:t>
      </w:r>
      <w:r>
        <w:rPr>
          <w:color w:val="auto"/>
        </w:rPr>
        <w:t>课程重修</w:t>
      </w:r>
    </w:p>
    <w:p>
      <w:pPr>
        <w:pStyle w:val="14"/>
        <w:tabs>
          <w:tab w:val="left" w:pos="1054"/>
        </w:tabs>
        <w:spacing w:line="300" w:lineRule="exact"/>
        <w:ind w:firstLine="420"/>
        <w:jc w:val="both"/>
        <w:rPr>
          <w:color w:val="auto"/>
        </w:rPr>
      </w:pPr>
      <w:bookmarkStart w:id="59" w:name="bookmark72"/>
      <w:r>
        <w:rPr>
          <w:color w:val="auto"/>
        </w:rPr>
        <w:t>（</w:t>
      </w:r>
      <w:bookmarkEnd w:id="59"/>
      <w:r>
        <w:rPr>
          <w:color w:val="auto"/>
        </w:rPr>
        <w:t>一）已修读必修课程（理论课）未取得学分的应重修，已修读选修课程未取得学分的可重修本课程或改修其它课程</w:t>
      </w:r>
      <w:r>
        <w:rPr>
          <w:rFonts w:hint="eastAsia"/>
          <w:color w:val="auto"/>
        </w:rPr>
        <w:t>。</w:t>
      </w:r>
    </w:p>
    <w:p>
      <w:pPr>
        <w:pStyle w:val="14"/>
        <w:tabs>
          <w:tab w:val="left" w:pos="1059"/>
        </w:tabs>
        <w:spacing w:line="300" w:lineRule="exact"/>
        <w:ind w:firstLine="420"/>
        <w:jc w:val="both"/>
        <w:rPr>
          <w:color w:val="auto"/>
        </w:rPr>
      </w:pPr>
      <w:bookmarkStart w:id="60" w:name="bookmark73"/>
      <w:r>
        <w:rPr>
          <w:color w:val="auto"/>
        </w:rPr>
        <w:t>（</w:t>
      </w:r>
      <w:bookmarkEnd w:id="60"/>
      <w:r>
        <w:rPr>
          <w:color w:val="auto"/>
        </w:rPr>
        <w:t>二）</w:t>
      </w:r>
      <w:r>
        <w:rPr>
          <w:color w:val="auto"/>
        </w:rPr>
        <w:tab/>
      </w:r>
      <w:r>
        <w:rPr>
          <w:color w:val="auto"/>
        </w:rPr>
        <w:t>学生应根据个人情况合理安排课程重修，须在开学初规定时间内进行网上重修选课，逾期不予办理。在重修课程与其它课程上课时间发生冲突时，经学院秘书认定，任课教师签署意见，学院批准，准予重修课程时不全部随堂听课。但应完成作业、实践性环节和任课教师要求的考核</w:t>
      </w:r>
      <w:r>
        <w:rPr>
          <w:rFonts w:hint="eastAsia"/>
          <w:color w:val="auto"/>
        </w:rPr>
        <w:t>。</w:t>
      </w:r>
    </w:p>
    <w:p>
      <w:pPr>
        <w:pStyle w:val="14"/>
        <w:tabs>
          <w:tab w:val="left" w:pos="1066"/>
        </w:tabs>
        <w:spacing w:line="300" w:lineRule="exact"/>
        <w:ind w:firstLine="420"/>
        <w:jc w:val="both"/>
        <w:rPr>
          <w:color w:val="auto"/>
          <w:lang w:eastAsia="zh-CN"/>
        </w:rPr>
      </w:pPr>
      <w:bookmarkStart w:id="61" w:name="bookmark74"/>
      <w:r>
        <w:rPr>
          <w:color w:val="auto"/>
        </w:rPr>
        <w:t>（</w:t>
      </w:r>
      <w:bookmarkEnd w:id="61"/>
      <w:r>
        <w:rPr>
          <w:color w:val="auto"/>
        </w:rPr>
        <w:t>三）</w:t>
      </w:r>
      <w:r>
        <w:rPr>
          <w:color w:val="auto"/>
        </w:rPr>
        <w:tab/>
      </w:r>
      <w:r>
        <w:rPr>
          <w:color w:val="auto"/>
        </w:rPr>
        <w:t>对已取得学分的课程应提出申请，经学校批准后方可重修</w:t>
      </w:r>
      <w:r>
        <w:rPr>
          <w:rFonts w:hint="eastAsia"/>
          <w:color w:val="auto"/>
          <w:lang w:eastAsia="zh-CN"/>
        </w:rPr>
        <w:t>。</w:t>
      </w:r>
    </w:p>
    <w:p>
      <w:pPr>
        <w:pStyle w:val="14"/>
        <w:tabs>
          <w:tab w:val="left" w:pos="1066"/>
        </w:tabs>
        <w:spacing w:line="300" w:lineRule="exact"/>
        <w:ind w:firstLine="420"/>
        <w:jc w:val="both"/>
        <w:rPr>
          <w:color w:val="auto"/>
        </w:rPr>
      </w:pPr>
      <w:bookmarkStart w:id="62" w:name="bookmark75"/>
      <w:r>
        <w:rPr>
          <w:color w:val="auto"/>
        </w:rPr>
        <w:t>（</w:t>
      </w:r>
      <w:bookmarkEnd w:id="62"/>
      <w:r>
        <w:rPr>
          <w:color w:val="auto"/>
        </w:rPr>
        <w:t>四）</w:t>
      </w:r>
      <w:r>
        <w:rPr>
          <w:color w:val="auto"/>
        </w:rPr>
        <w:tab/>
      </w:r>
      <w:r>
        <w:rPr>
          <w:color w:val="auto"/>
        </w:rPr>
        <w:t>课程重修成绩与课程绩点对应关系见附件。</w:t>
      </w:r>
    </w:p>
    <w:p>
      <w:pPr>
        <w:pStyle w:val="14"/>
        <w:tabs>
          <w:tab w:val="left" w:pos="1066"/>
        </w:tabs>
        <w:spacing w:line="300" w:lineRule="exact"/>
        <w:ind w:firstLine="420"/>
        <w:jc w:val="both"/>
        <w:rPr>
          <w:color w:val="auto"/>
          <w:lang w:eastAsia="zh-CN"/>
        </w:rPr>
      </w:pPr>
      <w:bookmarkStart w:id="63" w:name="bookmark76"/>
      <w:r>
        <w:rPr>
          <w:color w:val="auto"/>
        </w:rPr>
        <w:t>（</w:t>
      </w:r>
      <w:bookmarkEnd w:id="63"/>
      <w:r>
        <w:rPr>
          <w:color w:val="auto"/>
        </w:rPr>
        <w:t>五）</w:t>
      </w:r>
      <w:r>
        <w:rPr>
          <w:color w:val="auto"/>
        </w:rPr>
        <w:tab/>
      </w:r>
      <w:r>
        <w:rPr>
          <w:color w:val="auto"/>
        </w:rPr>
        <w:t>同一课程的重修考核成绩均记入学习过程成绩档案</w:t>
      </w:r>
      <w:r>
        <w:rPr>
          <w:rFonts w:hint="eastAsia"/>
          <w:color w:val="auto"/>
          <w:lang w:eastAsia="zh-CN"/>
        </w:rPr>
        <w:t>。</w:t>
      </w:r>
    </w:p>
    <w:p>
      <w:pPr>
        <w:pStyle w:val="14"/>
        <w:tabs>
          <w:tab w:val="left" w:pos="1066"/>
        </w:tabs>
        <w:spacing w:line="300" w:lineRule="exact"/>
        <w:ind w:firstLine="420"/>
        <w:jc w:val="both"/>
        <w:rPr>
          <w:color w:val="auto"/>
        </w:rPr>
      </w:pPr>
      <w:bookmarkStart w:id="64" w:name="bookmark77"/>
      <w:r>
        <w:rPr>
          <w:color w:val="auto"/>
        </w:rPr>
        <w:t>（</w:t>
      </w:r>
      <w:bookmarkEnd w:id="64"/>
      <w:r>
        <w:rPr>
          <w:color w:val="auto"/>
        </w:rPr>
        <w:t>六）</w:t>
      </w:r>
      <w:r>
        <w:rPr>
          <w:color w:val="auto"/>
        </w:rPr>
        <w:tab/>
      </w:r>
      <w:r>
        <w:rPr>
          <w:color w:val="auto"/>
        </w:rPr>
        <w:t>有课程重修的学生每学期修读课程总学分数不超过</w:t>
      </w:r>
      <w:r>
        <w:rPr>
          <w:rFonts w:cs="Times New Roman"/>
          <w:color w:val="auto"/>
        </w:rPr>
        <w:t>40</w:t>
      </w:r>
      <w:r>
        <w:rPr>
          <w:color w:val="auto"/>
        </w:rPr>
        <w:t>学分。</w:t>
      </w:r>
    </w:p>
    <w:p>
      <w:pPr>
        <w:pStyle w:val="14"/>
        <w:spacing w:line="300" w:lineRule="exact"/>
        <w:ind w:firstLine="420"/>
        <w:jc w:val="both"/>
        <w:rPr>
          <w:color w:val="auto"/>
        </w:rPr>
      </w:pPr>
      <w:r>
        <w:rPr>
          <w:color w:val="auto"/>
        </w:rPr>
        <w:t>第十条</w:t>
      </w:r>
      <w:r>
        <w:rPr>
          <w:rFonts w:hint="eastAsia"/>
          <w:color w:val="auto"/>
          <w:lang w:eastAsia="zh-CN"/>
        </w:rPr>
        <w:t xml:space="preserve"> </w:t>
      </w:r>
      <w:r>
        <w:rPr>
          <w:color w:val="auto"/>
        </w:rPr>
        <w:t>学分认定</w:t>
      </w:r>
    </w:p>
    <w:p>
      <w:pPr>
        <w:pStyle w:val="14"/>
        <w:tabs>
          <w:tab w:val="left" w:pos="1059"/>
        </w:tabs>
        <w:spacing w:line="300" w:lineRule="exact"/>
        <w:ind w:firstLine="420"/>
        <w:jc w:val="both"/>
        <w:rPr>
          <w:color w:val="auto"/>
        </w:rPr>
      </w:pPr>
      <w:bookmarkStart w:id="65" w:name="bookmark78"/>
      <w:r>
        <w:rPr>
          <w:color w:val="auto"/>
        </w:rPr>
        <w:t>（</w:t>
      </w:r>
      <w:bookmarkEnd w:id="65"/>
      <w:r>
        <w:rPr>
          <w:color w:val="auto"/>
        </w:rPr>
        <w:t>一）</w:t>
      </w:r>
      <w:r>
        <w:rPr>
          <w:color w:val="auto"/>
        </w:rPr>
        <w:tab/>
      </w:r>
      <w:r>
        <w:rPr>
          <w:color w:val="auto"/>
        </w:rPr>
        <w:t>鼓励学生参加校内、校外的课程学习和网络课程。学生修读的课程（学分），经学校认定，可作为专业学习学分。</w:t>
      </w:r>
    </w:p>
    <w:p>
      <w:pPr>
        <w:pStyle w:val="14"/>
        <w:tabs>
          <w:tab w:val="left" w:pos="1064"/>
        </w:tabs>
        <w:spacing w:line="300" w:lineRule="exact"/>
        <w:ind w:firstLine="420"/>
        <w:jc w:val="both"/>
        <w:rPr>
          <w:color w:val="auto"/>
        </w:rPr>
      </w:pPr>
      <w:bookmarkStart w:id="66" w:name="bookmark79"/>
      <w:r>
        <w:rPr>
          <w:color w:val="auto"/>
        </w:rPr>
        <w:t>（</w:t>
      </w:r>
      <w:bookmarkEnd w:id="66"/>
      <w:r>
        <w:rPr>
          <w:color w:val="auto"/>
        </w:rPr>
        <w:t>二）</w:t>
      </w:r>
      <w:r>
        <w:rPr>
          <w:color w:val="auto"/>
        </w:rPr>
        <w:tab/>
      </w:r>
      <w:r>
        <w:rPr>
          <w:color w:val="auto"/>
        </w:rPr>
        <w:t>鼓励学生积极参加创新创业、实习实践活动、学术科技活动以及发表论文、申请专利、出版专著、获得专业资质和荣誉奖励等活动，根据学生取得的成绩和成果,经学校认定，可作为素质拓展学分。</w:t>
      </w:r>
    </w:p>
    <w:p>
      <w:pPr>
        <w:pStyle w:val="14"/>
        <w:spacing w:line="300" w:lineRule="exact"/>
        <w:ind w:firstLine="420"/>
        <w:jc w:val="both"/>
        <w:rPr>
          <w:color w:val="auto"/>
        </w:rPr>
      </w:pPr>
      <w:r>
        <w:rPr>
          <w:color w:val="auto"/>
        </w:rPr>
        <w:t>第十一条</w:t>
      </w:r>
      <w:r>
        <w:rPr>
          <w:rFonts w:hint="eastAsia"/>
          <w:color w:val="auto"/>
          <w:lang w:eastAsia="zh-CN"/>
        </w:rPr>
        <w:t xml:space="preserve"> </w:t>
      </w:r>
      <w:r>
        <w:rPr>
          <w:color w:val="auto"/>
        </w:rPr>
        <w:t>学分替代</w:t>
      </w:r>
    </w:p>
    <w:p>
      <w:pPr>
        <w:pStyle w:val="14"/>
        <w:spacing w:line="300" w:lineRule="exact"/>
        <w:ind w:firstLine="420"/>
        <w:jc w:val="both"/>
        <w:rPr>
          <w:color w:val="auto"/>
        </w:rPr>
      </w:pPr>
      <w:r>
        <w:rPr>
          <w:color w:val="auto"/>
        </w:rPr>
        <w:t>（</w:t>
      </w:r>
      <w:r>
        <w:rPr>
          <w:rFonts w:hint="eastAsia"/>
          <w:color w:val="auto"/>
        </w:rPr>
        <w:t>一</w:t>
      </w:r>
      <w:r>
        <w:rPr>
          <w:color w:val="auto"/>
        </w:rPr>
        <w:t>）</w:t>
      </w:r>
      <w:r>
        <w:rPr>
          <w:rFonts w:hint="eastAsia"/>
          <w:color w:val="auto"/>
          <w:lang w:eastAsia="zh-CN"/>
        </w:rPr>
        <w:t xml:space="preserve"> </w:t>
      </w:r>
      <w:r>
        <w:rPr>
          <w:color w:val="auto"/>
        </w:rPr>
        <w:t>经认定的校内、校外课程专业类学分，可对照培养专业培养方案，按整体或课程进行替代。</w:t>
      </w:r>
    </w:p>
    <w:p>
      <w:pPr>
        <w:pStyle w:val="14"/>
        <w:tabs>
          <w:tab w:val="left" w:pos="1062"/>
        </w:tabs>
        <w:spacing w:line="300" w:lineRule="exact"/>
        <w:ind w:firstLine="420"/>
        <w:jc w:val="both"/>
        <w:rPr>
          <w:color w:val="auto"/>
        </w:rPr>
      </w:pPr>
      <w:bookmarkStart w:id="67" w:name="bookmark80"/>
      <w:r>
        <w:rPr>
          <w:color w:val="auto"/>
        </w:rPr>
        <w:t>（</w:t>
      </w:r>
      <w:bookmarkEnd w:id="67"/>
      <w:r>
        <w:rPr>
          <w:color w:val="auto"/>
        </w:rPr>
        <w:t>二）</w:t>
      </w:r>
      <w:r>
        <w:rPr>
          <w:color w:val="auto"/>
        </w:rPr>
        <w:tab/>
      </w:r>
      <w:r>
        <w:rPr>
          <w:color w:val="auto"/>
        </w:rPr>
        <w:t>经认定的素质拓展类学分可替代专业培养方案中相应课程的学分。</w:t>
      </w:r>
    </w:p>
    <w:p>
      <w:pPr>
        <w:pStyle w:val="14"/>
        <w:tabs>
          <w:tab w:val="left" w:pos="1062"/>
        </w:tabs>
        <w:spacing w:after="380" w:line="300" w:lineRule="exact"/>
        <w:ind w:firstLine="420"/>
        <w:jc w:val="both"/>
        <w:rPr>
          <w:color w:val="auto"/>
        </w:rPr>
      </w:pPr>
      <w:bookmarkStart w:id="68" w:name="bookmark81"/>
      <w:r>
        <w:rPr>
          <w:color w:val="auto"/>
        </w:rPr>
        <w:t>（</w:t>
      </w:r>
      <w:bookmarkEnd w:id="68"/>
      <w:r>
        <w:rPr>
          <w:color w:val="auto"/>
        </w:rPr>
        <w:t>三）</w:t>
      </w:r>
      <w:r>
        <w:rPr>
          <w:color w:val="auto"/>
        </w:rPr>
        <w:tab/>
      </w:r>
      <w:r>
        <w:rPr>
          <w:color w:val="auto"/>
        </w:rPr>
        <w:t>具体</w:t>
      </w:r>
      <w:r>
        <w:rPr>
          <w:rFonts w:hint="eastAsia"/>
          <w:color w:val="auto"/>
          <w:lang w:val="en-US" w:eastAsia="zh-CN"/>
        </w:rPr>
        <w:t>根据</w:t>
      </w:r>
      <w:r>
        <w:rPr>
          <w:color w:val="auto"/>
        </w:rPr>
        <w:t>《南京航空航天大学金城学院学分认定及替代管理办法》执行。</w:t>
      </w:r>
    </w:p>
    <w:p>
      <w:pPr>
        <w:pStyle w:val="18"/>
        <w:keepNext/>
        <w:keepLines/>
        <w:spacing w:after="320"/>
        <w:rPr>
          <w:color w:val="auto"/>
        </w:rPr>
      </w:pPr>
      <w:bookmarkStart w:id="69" w:name="bookmark82"/>
      <w:bookmarkStart w:id="70" w:name="bookmark84"/>
      <w:bookmarkStart w:id="71" w:name="bookmark83"/>
      <w:r>
        <w:rPr>
          <w:color w:val="auto"/>
        </w:rPr>
        <w:t>第三章</w:t>
      </w:r>
      <w:r>
        <w:rPr>
          <w:rFonts w:hint="eastAsia"/>
          <w:color w:val="auto"/>
          <w:lang w:eastAsia="zh-CN"/>
        </w:rPr>
        <w:t xml:space="preserve"> </w:t>
      </w:r>
      <w:r>
        <w:rPr>
          <w:color w:val="auto"/>
        </w:rPr>
        <w:t>课程考核与成绩记载</w:t>
      </w:r>
      <w:bookmarkEnd w:id="69"/>
      <w:bookmarkEnd w:id="70"/>
      <w:bookmarkEnd w:id="71"/>
    </w:p>
    <w:p>
      <w:pPr>
        <w:pStyle w:val="14"/>
        <w:spacing w:line="300" w:lineRule="exact"/>
        <w:ind w:firstLine="420"/>
        <w:jc w:val="both"/>
        <w:rPr>
          <w:color w:val="auto"/>
        </w:rPr>
      </w:pPr>
      <w:r>
        <w:rPr>
          <w:color w:val="auto"/>
        </w:rPr>
        <w:t>第十二条</w:t>
      </w:r>
      <w:r>
        <w:rPr>
          <w:rFonts w:hint="eastAsia"/>
          <w:color w:val="auto"/>
          <w:lang w:eastAsia="zh-CN"/>
        </w:rPr>
        <w:t xml:space="preserve"> </w:t>
      </w:r>
      <w:r>
        <w:rPr>
          <w:color w:val="auto"/>
        </w:rPr>
        <w:t>学生应参加所修课程的考核，考核成绩记入学生成绩档案，考核成绩及格及以上者，方能取得该课程的学分。</w:t>
      </w:r>
    </w:p>
    <w:p>
      <w:pPr>
        <w:pStyle w:val="14"/>
        <w:spacing w:line="300" w:lineRule="exact"/>
        <w:ind w:firstLine="420"/>
        <w:jc w:val="both"/>
        <w:rPr>
          <w:color w:val="auto"/>
        </w:rPr>
      </w:pPr>
      <w:r>
        <w:rPr>
          <w:color w:val="auto"/>
        </w:rPr>
        <w:t>学生成绩档案分为过程性成绩档案和终结性成绩档案两类：过程性成绩档案记载学生修读的每一门课程的修读情况；终结性成绩档案记载学生修读的每一门课程的最高成绩，对通过补考、重修获得的成绩，在成绩档案中加注</w:t>
      </w:r>
      <w:r>
        <w:rPr>
          <w:color w:val="auto"/>
          <w:lang w:val="zh-CN" w:eastAsia="zh-CN" w:bidi="zh-CN"/>
        </w:rPr>
        <w:t>“补</w:t>
      </w:r>
      <w:r>
        <w:rPr>
          <w:color w:val="auto"/>
        </w:rPr>
        <w:t>考、重修“字样。</w:t>
      </w:r>
    </w:p>
    <w:p>
      <w:pPr>
        <w:pStyle w:val="14"/>
        <w:tabs>
          <w:tab w:val="left" w:pos="1054"/>
        </w:tabs>
        <w:spacing w:line="300" w:lineRule="exact"/>
        <w:ind w:firstLine="420"/>
        <w:jc w:val="both"/>
        <w:rPr>
          <w:color w:val="auto"/>
        </w:rPr>
      </w:pPr>
      <w:r>
        <w:rPr>
          <w:color w:val="auto"/>
        </w:rPr>
        <w:t>第十三条</w:t>
      </w:r>
      <w:r>
        <w:rPr>
          <w:rFonts w:hint="eastAsia"/>
          <w:color w:val="auto"/>
        </w:rPr>
        <w:t xml:space="preserve"> </w:t>
      </w:r>
      <w:r>
        <w:rPr>
          <w:color w:val="auto"/>
        </w:rPr>
        <w:t>课程考核</w:t>
      </w:r>
    </w:p>
    <w:p>
      <w:pPr>
        <w:pStyle w:val="14"/>
        <w:tabs>
          <w:tab w:val="left" w:pos="1054"/>
        </w:tabs>
        <w:spacing w:line="300" w:lineRule="exact"/>
        <w:ind w:firstLine="420"/>
        <w:jc w:val="both"/>
        <w:rPr>
          <w:color w:val="auto"/>
        </w:rPr>
      </w:pPr>
      <w:r>
        <w:rPr>
          <w:color w:val="auto"/>
        </w:rPr>
        <w:t>（</w:t>
      </w:r>
      <w:r>
        <w:rPr>
          <w:rFonts w:hint="eastAsia"/>
          <w:color w:val="auto"/>
        </w:rPr>
        <w:t>一</w:t>
      </w:r>
      <w:r>
        <w:rPr>
          <w:color w:val="auto"/>
        </w:rPr>
        <w:t>）</w:t>
      </w:r>
      <w:r>
        <w:rPr>
          <w:rFonts w:hint="eastAsia"/>
          <w:color w:val="auto"/>
        </w:rPr>
        <w:t xml:space="preserve"> </w:t>
      </w:r>
      <w:r>
        <w:rPr>
          <w:color w:val="auto"/>
        </w:rPr>
        <w:t>课程考核方式分为考试和考查两种，按教学计划的规定执行。</w:t>
      </w:r>
    </w:p>
    <w:p>
      <w:pPr>
        <w:pStyle w:val="14"/>
        <w:tabs>
          <w:tab w:val="left" w:pos="1054"/>
        </w:tabs>
        <w:spacing w:line="300" w:lineRule="exact"/>
        <w:ind w:firstLine="420"/>
        <w:jc w:val="both"/>
        <w:rPr>
          <w:color w:val="auto"/>
        </w:rPr>
      </w:pPr>
      <w:bookmarkStart w:id="72" w:name="bookmark85"/>
      <w:r>
        <w:rPr>
          <w:color w:val="auto"/>
        </w:rPr>
        <w:t>（</w:t>
      </w:r>
      <w:bookmarkEnd w:id="72"/>
      <w:r>
        <w:rPr>
          <w:color w:val="auto"/>
        </w:rPr>
        <w:t>二）</w:t>
      </w:r>
      <w:r>
        <w:rPr>
          <w:color w:val="auto"/>
        </w:rPr>
        <w:tab/>
      </w:r>
      <w:r>
        <w:rPr>
          <w:color w:val="auto"/>
        </w:rPr>
        <w:t>课程考核成绩采用百分制、五级分制（优秀、良好、中等、及格、不及格）</w:t>
      </w:r>
      <w:r>
        <w:rPr>
          <w:rFonts w:hint="eastAsia"/>
          <w:color w:val="auto"/>
        </w:rPr>
        <w:t>或其它形式</w:t>
      </w:r>
      <w:r>
        <w:rPr>
          <w:color w:val="auto"/>
        </w:rPr>
        <w:t>评定记分。 原则上考试采用百分制记，考查釆用五级分制记。</w:t>
      </w:r>
    </w:p>
    <w:p>
      <w:pPr>
        <w:pStyle w:val="14"/>
        <w:tabs>
          <w:tab w:val="left" w:pos="1054"/>
        </w:tabs>
        <w:spacing w:line="300" w:lineRule="exact"/>
        <w:ind w:firstLine="420"/>
        <w:jc w:val="both"/>
        <w:rPr>
          <w:color w:val="auto"/>
        </w:rPr>
      </w:pPr>
      <w:bookmarkStart w:id="73" w:name="bookmark86"/>
      <w:r>
        <w:rPr>
          <w:color w:val="auto"/>
        </w:rPr>
        <w:t>（</w:t>
      </w:r>
      <w:bookmarkEnd w:id="73"/>
      <w:r>
        <w:rPr>
          <w:color w:val="auto"/>
        </w:rPr>
        <w:t>三）课程考核成绩由课程</w:t>
      </w:r>
      <w:r>
        <w:rPr>
          <w:rFonts w:hint="eastAsia"/>
          <w:color w:val="auto"/>
        </w:rPr>
        <w:t>终结性</w:t>
      </w:r>
      <w:r>
        <w:rPr>
          <w:color w:val="auto"/>
        </w:rPr>
        <w:t>考核成绩与</w:t>
      </w:r>
      <w:r>
        <w:rPr>
          <w:rFonts w:hint="eastAsia"/>
          <w:color w:val="auto"/>
        </w:rPr>
        <w:t>过程性</w:t>
      </w:r>
      <w:r>
        <w:rPr>
          <w:color w:val="auto"/>
        </w:rPr>
        <w:t>考核成绩综合评定。</w:t>
      </w:r>
      <w:r>
        <w:rPr>
          <w:rFonts w:hint="eastAsia"/>
          <w:color w:val="auto"/>
        </w:rPr>
        <w:t>终结性</w:t>
      </w:r>
      <w:r>
        <w:rPr>
          <w:color w:val="auto"/>
        </w:rPr>
        <w:t>考核一般采取笔试形式，也可采取面试、口试、表演、答辩、实际操作、论文、课程报告等形式</w:t>
      </w:r>
      <w:r>
        <w:rPr>
          <w:rFonts w:hint="eastAsia"/>
          <w:color w:val="auto"/>
        </w:rPr>
        <w:t>；过程性</w:t>
      </w:r>
      <w:r>
        <w:rPr>
          <w:color w:val="auto"/>
        </w:rPr>
        <w:t>考核成绩主要根据作业、测验、期中考核、实验、考勤等综合评定。考核</w:t>
      </w:r>
      <w:r>
        <w:rPr>
          <w:rFonts w:hint="eastAsia"/>
          <w:color w:val="auto"/>
        </w:rPr>
        <w:t>方式和</w:t>
      </w:r>
      <w:r>
        <w:rPr>
          <w:color w:val="auto"/>
        </w:rPr>
        <w:t>成绩</w:t>
      </w:r>
      <w:r>
        <w:rPr>
          <w:rFonts w:hint="eastAsia"/>
          <w:color w:val="auto"/>
        </w:rPr>
        <w:t>构成</w:t>
      </w:r>
      <w:r>
        <w:rPr>
          <w:color w:val="auto"/>
        </w:rPr>
        <w:t>由任课教师在</w:t>
      </w:r>
      <w:r>
        <w:rPr>
          <w:rFonts w:hint="eastAsia"/>
          <w:color w:val="auto"/>
        </w:rPr>
        <w:t>开课初期</w:t>
      </w:r>
      <w:r>
        <w:rPr>
          <w:color w:val="auto"/>
        </w:rPr>
        <w:t>向学生</w:t>
      </w:r>
      <w:r>
        <w:rPr>
          <w:rFonts w:hint="eastAsia"/>
          <w:color w:val="auto"/>
        </w:rPr>
        <w:t>公</w:t>
      </w:r>
      <w:r>
        <w:rPr>
          <w:color w:val="auto"/>
        </w:rPr>
        <w:t>布，原则上</w:t>
      </w:r>
      <w:r>
        <w:rPr>
          <w:rFonts w:hint="eastAsia"/>
          <w:color w:val="auto"/>
        </w:rPr>
        <w:t>过程性</w:t>
      </w:r>
      <w:r>
        <w:rPr>
          <w:color w:val="auto"/>
        </w:rPr>
        <w:t>考核</w:t>
      </w:r>
      <w:r>
        <w:rPr>
          <w:rFonts w:hint="eastAsia"/>
          <w:color w:val="auto"/>
        </w:rPr>
        <w:t>成绩为20%—6</w:t>
      </w:r>
      <w:r>
        <w:rPr>
          <w:color w:val="auto"/>
        </w:rPr>
        <w:t>0</w:t>
      </w:r>
      <w:r>
        <w:rPr>
          <w:rFonts w:hint="eastAsia"/>
          <w:color w:val="auto"/>
        </w:rPr>
        <w:t>%。</w:t>
      </w:r>
    </w:p>
    <w:p>
      <w:pPr>
        <w:pStyle w:val="14"/>
        <w:tabs>
          <w:tab w:val="left" w:pos="1054"/>
        </w:tabs>
        <w:spacing w:line="300" w:lineRule="exact"/>
        <w:ind w:firstLine="420"/>
        <w:jc w:val="both"/>
        <w:rPr>
          <w:color w:val="auto"/>
        </w:rPr>
      </w:pPr>
      <w:bookmarkStart w:id="74" w:name="bookmark87"/>
      <w:r>
        <w:rPr>
          <w:color w:val="auto"/>
        </w:rPr>
        <w:t>（</w:t>
      </w:r>
      <w:bookmarkEnd w:id="74"/>
      <w:r>
        <w:rPr>
          <w:color w:val="auto"/>
        </w:rPr>
        <w:t>四）</w:t>
      </w:r>
      <w:r>
        <w:rPr>
          <w:color w:val="auto"/>
        </w:rPr>
        <w:tab/>
      </w:r>
      <w:r>
        <w:rPr>
          <w:color w:val="auto"/>
        </w:rPr>
        <w:t>百分制与五级分制的换算标准：大于等于90分为优秀；80 ~ 89分为良好</w:t>
      </w:r>
      <w:r>
        <w:rPr>
          <w:rFonts w:hint="eastAsia"/>
          <w:color w:val="auto"/>
        </w:rPr>
        <w:t>；</w:t>
      </w:r>
      <w:r>
        <w:rPr>
          <w:color w:val="auto"/>
        </w:rPr>
        <w:t>70 ~ 79分为中等；60 ~ 69分为及格；小于60分为不及格。</w:t>
      </w:r>
    </w:p>
    <w:p>
      <w:pPr>
        <w:pStyle w:val="14"/>
        <w:tabs>
          <w:tab w:val="left" w:pos="1054"/>
        </w:tabs>
        <w:spacing w:line="300" w:lineRule="exact"/>
        <w:ind w:firstLine="420"/>
        <w:jc w:val="both"/>
        <w:rPr>
          <w:color w:val="auto"/>
        </w:rPr>
      </w:pPr>
      <w:bookmarkStart w:id="75" w:name="bookmark88"/>
      <w:r>
        <w:rPr>
          <w:color w:val="auto"/>
        </w:rPr>
        <w:t>（</w:t>
      </w:r>
      <w:bookmarkEnd w:id="75"/>
      <w:r>
        <w:rPr>
          <w:color w:val="auto"/>
        </w:rPr>
        <w:t>五）</w:t>
      </w:r>
      <w:r>
        <w:rPr>
          <w:color w:val="auto"/>
        </w:rPr>
        <w:tab/>
      </w:r>
      <w:r>
        <w:rPr>
          <w:color w:val="auto"/>
        </w:rPr>
        <w:t>体育课的考核成绩根据考勤、课内教学、课外锻炼活动和体质健康的情况综合评定， 按《南京航空航天大学金城学院关于体育课教学管理的补充规定》执行。其他特殊课程考核 参照相关规定执行。</w:t>
      </w:r>
    </w:p>
    <w:p>
      <w:pPr>
        <w:pStyle w:val="14"/>
        <w:tabs>
          <w:tab w:val="left" w:pos="1054"/>
        </w:tabs>
        <w:spacing w:line="300" w:lineRule="exact"/>
        <w:ind w:firstLine="420"/>
        <w:jc w:val="both"/>
        <w:rPr>
          <w:color w:val="auto"/>
        </w:rPr>
      </w:pPr>
      <w:bookmarkStart w:id="76" w:name="bookmark89"/>
      <w:r>
        <w:rPr>
          <w:color w:val="auto"/>
        </w:rPr>
        <w:t>（</w:t>
      </w:r>
      <w:bookmarkEnd w:id="76"/>
      <w:r>
        <w:rPr>
          <w:color w:val="auto"/>
        </w:rPr>
        <w:t>六）</w:t>
      </w:r>
      <w:r>
        <w:rPr>
          <w:color w:val="auto"/>
        </w:rPr>
        <w:tab/>
      </w:r>
      <w:r>
        <w:rPr>
          <w:color w:val="auto"/>
        </w:rPr>
        <w:t>学生不得参加未按规定选课课程的考试，凡参加考试者，其成绩不予记载。</w:t>
      </w:r>
    </w:p>
    <w:p>
      <w:pPr>
        <w:pStyle w:val="14"/>
        <w:tabs>
          <w:tab w:val="left" w:pos="1054"/>
        </w:tabs>
        <w:spacing w:line="300" w:lineRule="exact"/>
        <w:ind w:firstLine="420"/>
        <w:jc w:val="both"/>
        <w:rPr>
          <w:color w:val="auto"/>
        </w:rPr>
      </w:pPr>
      <w:r>
        <w:rPr>
          <w:color w:val="auto"/>
        </w:rPr>
        <w:t>第十四条</w:t>
      </w:r>
      <w:r>
        <w:rPr>
          <w:rFonts w:hint="eastAsia"/>
          <w:color w:val="auto"/>
        </w:rPr>
        <w:t xml:space="preserve"> </w:t>
      </w:r>
      <w:r>
        <w:rPr>
          <w:color w:val="auto"/>
        </w:rPr>
        <w:t>考核资格</w:t>
      </w:r>
    </w:p>
    <w:p>
      <w:pPr>
        <w:pStyle w:val="14"/>
        <w:tabs>
          <w:tab w:val="left" w:pos="1064"/>
        </w:tabs>
        <w:spacing w:line="300" w:lineRule="exact"/>
        <w:ind w:firstLine="420"/>
        <w:jc w:val="both"/>
        <w:rPr>
          <w:color w:val="auto"/>
        </w:rPr>
      </w:pPr>
      <w:bookmarkStart w:id="77" w:name="bookmark90"/>
      <w:r>
        <w:rPr>
          <w:color w:val="auto"/>
        </w:rPr>
        <w:t>（</w:t>
      </w:r>
      <w:bookmarkEnd w:id="77"/>
      <w:r>
        <w:rPr>
          <w:color w:val="auto"/>
        </w:rPr>
        <w:t>一）</w:t>
      </w:r>
      <w:r>
        <w:rPr>
          <w:color w:val="auto"/>
        </w:rPr>
        <w:tab/>
      </w:r>
      <w:r>
        <w:rPr>
          <w:color w:val="auto"/>
        </w:rPr>
        <w:t>在课程考核前，任课教师将审查学生考核资格，公布取消考核资格的学生名单</w:t>
      </w:r>
      <w:r>
        <w:rPr>
          <w:rFonts w:hint="eastAsia"/>
          <w:color w:val="auto"/>
        </w:rPr>
        <w:t>，</w:t>
      </w:r>
      <w:r>
        <w:rPr>
          <w:color w:val="auto"/>
        </w:rPr>
        <w:t>并交各学生所在学院备案。</w:t>
      </w:r>
    </w:p>
    <w:p>
      <w:pPr>
        <w:pStyle w:val="14"/>
        <w:tabs>
          <w:tab w:val="left" w:pos="1066"/>
        </w:tabs>
        <w:spacing w:line="300" w:lineRule="exact"/>
        <w:ind w:firstLine="420"/>
        <w:jc w:val="both"/>
        <w:rPr>
          <w:color w:val="auto"/>
        </w:rPr>
      </w:pPr>
      <w:bookmarkStart w:id="78" w:name="bookmark91"/>
      <w:r>
        <w:rPr>
          <w:color w:val="auto"/>
        </w:rPr>
        <w:t>（</w:t>
      </w:r>
      <w:bookmarkEnd w:id="78"/>
      <w:r>
        <w:rPr>
          <w:color w:val="auto"/>
        </w:rPr>
        <w:t>二）</w:t>
      </w:r>
      <w:r>
        <w:rPr>
          <w:color w:val="auto"/>
        </w:rPr>
        <w:tab/>
      </w:r>
      <w:r>
        <w:rPr>
          <w:color w:val="auto"/>
        </w:rPr>
        <w:t>有下列情形之一者，不具有该课程的课程考核资格，应予重修。</w:t>
      </w:r>
    </w:p>
    <w:p>
      <w:pPr>
        <w:pStyle w:val="14"/>
        <w:tabs>
          <w:tab w:val="left" w:pos="1054"/>
        </w:tabs>
        <w:spacing w:line="300" w:lineRule="exact"/>
        <w:ind w:firstLine="420"/>
        <w:jc w:val="both"/>
        <w:rPr>
          <w:color w:val="auto"/>
        </w:rPr>
      </w:pPr>
      <w:r>
        <w:rPr>
          <w:rFonts w:hint="eastAsia"/>
          <w:color w:val="auto"/>
        </w:rPr>
        <w:t>1.</w:t>
      </w:r>
      <w:r>
        <w:rPr>
          <w:color w:val="auto"/>
        </w:rPr>
        <w:t>旷课累计达到三次及以上者；</w:t>
      </w:r>
    </w:p>
    <w:p>
      <w:pPr>
        <w:pStyle w:val="14"/>
        <w:tabs>
          <w:tab w:val="left" w:pos="1054"/>
        </w:tabs>
        <w:spacing w:line="300" w:lineRule="exact"/>
        <w:ind w:firstLine="420"/>
        <w:jc w:val="both"/>
        <w:rPr>
          <w:color w:val="auto"/>
        </w:rPr>
      </w:pPr>
      <w:r>
        <w:rPr>
          <w:rFonts w:hint="eastAsia"/>
          <w:color w:val="auto"/>
        </w:rPr>
        <w:t>2.</w:t>
      </w:r>
      <w:r>
        <w:rPr>
          <w:color w:val="auto"/>
        </w:rPr>
        <w:t>作业缺交四分之一以上者（按教师规定的时间，逾期一周不交者，以缺交作业论）</w:t>
      </w:r>
      <w:r>
        <w:rPr>
          <w:rFonts w:hint="eastAsia"/>
          <w:color w:val="auto"/>
        </w:rPr>
        <w:t>；</w:t>
      </w:r>
    </w:p>
    <w:p>
      <w:pPr>
        <w:pStyle w:val="14"/>
        <w:tabs>
          <w:tab w:val="left" w:pos="1054"/>
        </w:tabs>
        <w:spacing w:line="300" w:lineRule="exact"/>
        <w:ind w:firstLine="420"/>
        <w:jc w:val="both"/>
        <w:rPr>
          <w:color w:val="auto"/>
        </w:rPr>
      </w:pPr>
      <w:r>
        <w:rPr>
          <w:rFonts w:hint="eastAsia"/>
          <w:color w:val="auto"/>
        </w:rPr>
        <w:t>3.</w:t>
      </w:r>
      <w:r>
        <w:rPr>
          <w:color w:val="auto"/>
        </w:rPr>
        <w:t>无故缺做实验或实验未达到要求者；</w:t>
      </w:r>
    </w:p>
    <w:p>
      <w:pPr>
        <w:pStyle w:val="14"/>
        <w:tabs>
          <w:tab w:val="left" w:pos="1054"/>
        </w:tabs>
        <w:spacing w:line="300" w:lineRule="exact"/>
        <w:ind w:firstLine="420"/>
        <w:jc w:val="both"/>
        <w:rPr>
          <w:color w:val="auto"/>
        </w:rPr>
      </w:pPr>
      <w:r>
        <w:rPr>
          <w:rFonts w:hint="eastAsia"/>
          <w:color w:val="auto"/>
        </w:rPr>
        <w:t>4.</w:t>
      </w:r>
      <w:r>
        <w:rPr>
          <w:color w:val="auto"/>
        </w:rPr>
        <w:t>实习、课程设计、毕业设计等旷课四分之一以上者。</w:t>
      </w:r>
    </w:p>
    <w:p>
      <w:pPr>
        <w:pStyle w:val="14"/>
        <w:tabs>
          <w:tab w:val="left" w:pos="1066"/>
        </w:tabs>
        <w:spacing w:line="300" w:lineRule="exact"/>
        <w:ind w:firstLine="420"/>
        <w:jc w:val="both"/>
        <w:rPr>
          <w:color w:val="auto"/>
        </w:rPr>
      </w:pPr>
      <w:bookmarkStart w:id="79" w:name="bookmark94"/>
      <w:r>
        <w:rPr>
          <w:color w:val="auto"/>
        </w:rPr>
        <w:t>（</w:t>
      </w:r>
      <w:bookmarkEnd w:id="79"/>
      <w:r>
        <w:rPr>
          <w:color w:val="auto"/>
        </w:rPr>
        <w:t>三）</w:t>
      </w:r>
      <w:r>
        <w:rPr>
          <w:color w:val="auto"/>
        </w:rPr>
        <w:tab/>
      </w:r>
      <w:r>
        <w:rPr>
          <w:color w:val="auto"/>
        </w:rPr>
        <w:t>被取消考试资格的课程，成绩以零分计，不得补考。</w:t>
      </w:r>
    </w:p>
    <w:p>
      <w:pPr>
        <w:pStyle w:val="14"/>
        <w:tabs>
          <w:tab w:val="left" w:pos="1054"/>
        </w:tabs>
        <w:spacing w:line="300" w:lineRule="exact"/>
        <w:ind w:firstLine="420"/>
        <w:jc w:val="both"/>
        <w:rPr>
          <w:color w:val="auto"/>
        </w:rPr>
      </w:pPr>
      <w:r>
        <w:rPr>
          <w:color w:val="auto"/>
        </w:rPr>
        <w:t>第十五条</w:t>
      </w:r>
      <w:r>
        <w:rPr>
          <w:rFonts w:hint="eastAsia"/>
          <w:color w:val="auto"/>
        </w:rPr>
        <w:t xml:space="preserve"> </w:t>
      </w:r>
      <w:r>
        <w:rPr>
          <w:color w:val="auto"/>
        </w:rPr>
        <w:t>课程缓考</w:t>
      </w:r>
    </w:p>
    <w:p>
      <w:pPr>
        <w:pStyle w:val="14"/>
        <w:tabs>
          <w:tab w:val="left" w:pos="1054"/>
        </w:tabs>
        <w:spacing w:line="300" w:lineRule="exact"/>
        <w:ind w:firstLine="420"/>
        <w:jc w:val="both"/>
        <w:rPr>
          <w:color w:val="auto"/>
        </w:rPr>
      </w:pPr>
      <w:r>
        <w:rPr>
          <w:rFonts w:hint="eastAsia"/>
          <w:color w:val="auto"/>
        </w:rPr>
        <w:t>（一）</w:t>
      </w:r>
      <w:r>
        <w:rPr>
          <w:color w:val="auto"/>
        </w:rPr>
        <w:t>具有课程考核资格的学生，因参加学校安排的活动、家庭重大变故或因病等特殊原因不能按时参加课程</w:t>
      </w:r>
      <w:r>
        <w:rPr>
          <w:rFonts w:hint="eastAsia"/>
          <w:color w:val="auto"/>
        </w:rPr>
        <w:t>终结性</w:t>
      </w:r>
      <w:r>
        <w:rPr>
          <w:color w:val="auto"/>
        </w:rPr>
        <w:t>考核，可申请缓考。</w:t>
      </w:r>
    </w:p>
    <w:p>
      <w:pPr>
        <w:pStyle w:val="14"/>
        <w:tabs>
          <w:tab w:val="left" w:pos="1054"/>
        </w:tabs>
        <w:spacing w:line="300" w:lineRule="exact"/>
        <w:ind w:firstLine="420"/>
        <w:jc w:val="both"/>
        <w:rPr>
          <w:color w:val="auto"/>
          <w:lang w:eastAsia="zh-CN"/>
        </w:rPr>
      </w:pPr>
      <w:bookmarkStart w:id="80" w:name="bookmark95"/>
      <w:r>
        <w:rPr>
          <w:color w:val="auto"/>
        </w:rPr>
        <w:t>（</w:t>
      </w:r>
      <w:bookmarkEnd w:id="80"/>
      <w:r>
        <w:rPr>
          <w:color w:val="auto"/>
        </w:rPr>
        <w:t>二）</w:t>
      </w:r>
      <w:r>
        <w:rPr>
          <w:color w:val="auto"/>
        </w:rPr>
        <w:tab/>
      </w:r>
      <w:r>
        <w:rPr>
          <w:color w:val="auto"/>
        </w:rPr>
        <w:t>学生应在考核前持有关证明，填写</w:t>
      </w:r>
      <w:r>
        <w:rPr>
          <w:rFonts w:hint="eastAsia"/>
          <w:color w:val="auto"/>
          <w:lang w:eastAsia="zh-CN"/>
        </w:rPr>
        <w:t>《</w:t>
      </w:r>
      <w:r>
        <w:rPr>
          <w:color w:val="auto"/>
          <w:lang w:val="zh-CN" w:eastAsia="zh-CN" w:bidi="zh-CN"/>
        </w:rPr>
        <w:t>缓</w:t>
      </w:r>
      <w:r>
        <w:rPr>
          <w:color w:val="auto"/>
        </w:rPr>
        <w:t>考申请表</w:t>
      </w:r>
      <w:r>
        <w:rPr>
          <w:rFonts w:hint="eastAsia"/>
          <w:color w:val="auto"/>
          <w:lang w:eastAsia="zh-CN"/>
        </w:rPr>
        <w:t>》</w:t>
      </w:r>
      <w:r>
        <w:rPr>
          <w:color w:val="auto"/>
        </w:rPr>
        <w:t>,向所在学院</w:t>
      </w:r>
      <w:r>
        <w:rPr>
          <w:rFonts w:hint="eastAsia"/>
          <w:color w:val="auto"/>
          <w:lang w:val="en-US" w:eastAsia="zh-CN"/>
        </w:rPr>
        <w:t>申请</w:t>
      </w:r>
      <w:r>
        <w:rPr>
          <w:color w:val="auto"/>
        </w:rPr>
        <w:t>，经学院批准后，将缓考通知单递交任课教师，方可缓考。</w:t>
      </w:r>
    </w:p>
    <w:p>
      <w:pPr>
        <w:pStyle w:val="14"/>
        <w:tabs>
          <w:tab w:val="left" w:pos="1057"/>
        </w:tabs>
        <w:spacing w:line="300" w:lineRule="exact"/>
        <w:ind w:firstLine="420"/>
        <w:jc w:val="both"/>
        <w:rPr>
          <w:color w:val="auto"/>
        </w:rPr>
      </w:pPr>
      <w:bookmarkStart w:id="81" w:name="bookmark96"/>
      <w:r>
        <w:rPr>
          <w:color w:val="auto"/>
        </w:rPr>
        <w:t>（</w:t>
      </w:r>
      <w:bookmarkEnd w:id="81"/>
      <w:r>
        <w:rPr>
          <w:color w:val="auto"/>
        </w:rPr>
        <w:t>三）</w:t>
      </w:r>
      <w:r>
        <w:rPr>
          <w:color w:val="auto"/>
        </w:rPr>
        <w:tab/>
      </w:r>
      <w:r>
        <w:rPr>
          <w:color w:val="auto"/>
        </w:rPr>
        <w:t>课程考核的缓考一般以每学期一门为限。</w:t>
      </w:r>
    </w:p>
    <w:p>
      <w:pPr>
        <w:pStyle w:val="14"/>
        <w:tabs>
          <w:tab w:val="left" w:pos="1054"/>
        </w:tabs>
        <w:spacing w:line="300" w:lineRule="exact"/>
        <w:ind w:firstLine="420"/>
        <w:jc w:val="both"/>
        <w:rPr>
          <w:color w:val="auto"/>
          <w:lang w:eastAsia="zh-CN"/>
        </w:rPr>
      </w:pPr>
      <w:bookmarkStart w:id="82" w:name="bookmark97"/>
      <w:r>
        <w:rPr>
          <w:color w:val="auto"/>
        </w:rPr>
        <w:t>（</w:t>
      </w:r>
      <w:bookmarkEnd w:id="82"/>
      <w:r>
        <w:rPr>
          <w:color w:val="auto"/>
        </w:rPr>
        <w:t>四）</w:t>
      </w:r>
      <w:r>
        <w:rPr>
          <w:color w:val="auto"/>
        </w:rPr>
        <w:tab/>
      </w:r>
      <w:r>
        <w:rPr>
          <w:color w:val="auto"/>
        </w:rPr>
        <w:t>对于缓考课程的考核，有补考的课程随补考一同进行，无补考的课程随下一年级相同课程的考核一同进行。</w:t>
      </w:r>
    </w:p>
    <w:p>
      <w:pPr>
        <w:pStyle w:val="14"/>
        <w:tabs>
          <w:tab w:val="left" w:pos="1062"/>
        </w:tabs>
        <w:spacing w:line="300" w:lineRule="exact"/>
        <w:ind w:firstLine="420"/>
        <w:jc w:val="both"/>
        <w:rPr>
          <w:color w:val="auto"/>
        </w:rPr>
      </w:pPr>
      <w:bookmarkStart w:id="83" w:name="bookmark98"/>
      <w:r>
        <w:rPr>
          <w:color w:val="auto"/>
        </w:rPr>
        <w:t>（</w:t>
      </w:r>
      <w:bookmarkEnd w:id="83"/>
      <w:r>
        <w:rPr>
          <w:color w:val="auto"/>
        </w:rPr>
        <w:t>五）</w:t>
      </w:r>
      <w:r>
        <w:rPr>
          <w:color w:val="auto"/>
        </w:rPr>
        <w:tab/>
      </w:r>
      <w:r>
        <w:rPr>
          <w:color w:val="auto"/>
        </w:rPr>
        <w:t>缓考不及格不再安排补考，应重修。</w:t>
      </w:r>
    </w:p>
    <w:p>
      <w:pPr>
        <w:pStyle w:val="14"/>
        <w:spacing w:line="300" w:lineRule="exact"/>
        <w:ind w:firstLine="420"/>
        <w:jc w:val="both"/>
        <w:rPr>
          <w:color w:val="auto"/>
        </w:rPr>
      </w:pPr>
      <w:r>
        <w:rPr>
          <w:color w:val="auto"/>
        </w:rPr>
        <w:t>第十六条</w:t>
      </w:r>
      <w:r>
        <w:rPr>
          <w:rFonts w:hint="eastAsia"/>
          <w:color w:val="auto"/>
          <w:lang w:eastAsia="zh-CN"/>
        </w:rPr>
        <w:t xml:space="preserve"> </w:t>
      </w:r>
      <w:r>
        <w:rPr>
          <w:color w:val="auto"/>
        </w:rPr>
        <w:t>课程补考</w:t>
      </w:r>
    </w:p>
    <w:p>
      <w:pPr>
        <w:pStyle w:val="14"/>
        <w:spacing w:line="300" w:lineRule="exact"/>
        <w:jc w:val="both"/>
        <w:rPr>
          <w:color w:val="auto"/>
          <w:lang w:eastAsia="zh-CN"/>
        </w:rPr>
      </w:pPr>
      <w:r>
        <w:rPr>
          <w:rFonts w:hint="eastAsia"/>
          <w:color w:val="auto"/>
          <w:lang w:eastAsia="zh-CN"/>
        </w:rPr>
        <w:t>（一）</w:t>
      </w:r>
      <w:r>
        <w:rPr>
          <w:color w:val="auto"/>
        </w:rPr>
        <w:t>课程不及格学校给予一次补考机会,实践环节（实验课程、课程设计、生产实习等）及</w:t>
      </w:r>
      <w:r>
        <w:rPr>
          <w:rFonts w:hint="eastAsia"/>
          <w:color w:val="auto"/>
          <w:lang w:val="en-US" w:eastAsia="zh-CN"/>
        </w:rPr>
        <w:t>校</w:t>
      </w:r>
      <w:r>
        <w:rPr>
          <w:color w:val="auto"/>
        </w:rPr>
        <w:t>定选修课不及格，应重修。</w:t>
      </w:r>
    </w:p>
    <w:p>
      <w:pPr>
        <w:pStyle w:val="14"/>
        <w:tabs>
          <w:tab w:val="left" w:pos="1057"/>
        </w:tabs>
        <w:spacing w:line="300" w:lineRule="exact"/>
        <w:ind w:firstLine="420"/>
        <w:jc w:val="both"/>
        <w:rPr>
          <w:color w:val="auto"/>
        </w:rPr>
      </w:pPr>
      <w:bookmarkStart w:id="84" w:name="bookmark99"/>
      <w:r>
        <w:rPr>
          <w:color w:val="auto"/>
        </w:rPr>
        <w:t>（</w:t>
      </w:r>
      <w:bookmarkEnd w:id="84"/>
      <w:r>
        <w:rPr>
          <w:color w:val="auto"/>
        </w:rPr>
        <w:t>二）</w:t>
      </w:r>
      <w:r>
        <w:rPr>
          <w:color w:val="auto"/>
        </w:rPr>
        <w:tab/>
      </w:r>
      <w:r>
        <w:rPr>
          <w:color w:val="auto"/>
        </w:rPr>
        <w:t>缺考或被取消考试资格的课程，成绩以零分记，不得补考。</w:t>
      </w:r>
    </w:p>
    <w:p>
      <w:pPr>
        <w:pStyle w:val="14"/>
        <w:tabs>
          <w:tab w:val="left" w:pos="1054"/>
        </w:tabs>
        <w:spacing w:line="300" w:lineRule="exact"/>
        <w:ind w:firstLine="420"/>
        <w:jc w:val="both"/>
        <w:rPr>
          <w:color w:val="auto"/>
        </w:rPr>
      </w:pPr>
      <w:bookmarkStart w:id="85" w:name="bookmark100"/>
      <w:r>
        <w:rPr>
          <w:color w:val="auto"/>
        </w:rPr>
        <w:t>（</w:t>
      </w:r>
      <w:bookmarkEnd w:id="85"/>
      <w:r>
        <w:rPr>
          <w:color w:val="auto"/>
        </w:rPr>
        <w:t>三）</w:t>
      </w:r>
      <w:r>
        <w:rPr>
          <w:color w:val="auto"/>
        </w:rPr>
        <w:tab/>
      </w:r>
      <w:r>
        <w:rPr>
          <w:color w:val="auto"/>
        </w:rPr>
        <w:t>每学期开学后的二周内，学校统一安排上学期课程的补考；凡未参加课程补考的学生，学校不再另行安排。</w:t>
      </w:r>
    </w:p>
    <w:p>
      <w:pPr>
        <w:pStyle w:val="14"/>
        <w:tabs>
          <w:tab w:val="left" w:pos="1062"/>
        </w:tabs>
        <w:spacing w:line="300" w:lineRule="exact"/>
        <w:ind w:firstLine="420"/>
        <w:jc w:val="both"/>
        <w:rPr>
          <w:color w:val="auto"/>
          <w:lang w:eastAsia="zh-CN"/>
        </w:rPr>
      </w:pPr>
      <w:bookmarkStart w:id="86" w:name="bookmark101"/>
      <w:r>
        <w:rPr>
          <w:color w:val="auto"/>
        </w:rPr>
        <w:t>（</w:t>
      </w:r>
      <w:bookmarkEnd w:id="86"/>
      <w:r>
        <w:rPr>
          <w:color w:val="auto"/>
        </w:rPr>
        <w:t>四）</w:t>
      </w:r>
      <w:r>
        <w:rPr>
          <w:color w:val="auto"/>
        </w:rPr>
        <w:tab/>
      </w:r>
      <w:r>
        <w:rPr>
          <w:color w:val="auto"/>
        </w:rPr>
        <w:t>补考成绩与课程绩点对应关系见附件。</w:t>
      </w:r>
    </w:p>
    <w:p>
      <w:pPr>
        <w:pStyle w:val="14"/>
        <w:spacing w:line="300" w:lineRule="exact"/>
        <w:ind w:firstLine="420"/>
        <w:jc w:val="both"/>
        <w:rPr>
          <w:color w:val="auto"/>
        </w:rPr>
      </w:pPr>
      <w:r>
        <w:rPr>
          <w:color w:val="auto"/>
        </w:rPr>
        <w:t>第十七条</w:t>
      </w:r>
      <w:r>
        <w:rPr>
          <w:rFonts w:hint="eastAsia"/>
          <w:color w:val="auto"/>
          <w:lang w:eastAsia="zh-CN"/>
        </w:rPr>
        <w:t xml:space="preserve"> </w:t>
      </w:r>
      <w:r>
        <w:rPr>
          <w:color w:val="auto"/>
        </w:rPr>
        <w:t>课程缺考</w:t>
      </w:r>
    </w:p>
    <w:p>
      <w:pPr>
        <w:pStyle w:val="14"/>
        <w:numPr>
          <w:ilvl w:val="0"/>
          <w:numId w:val="2"/>
        </w:numPr>
        <w:tabs>
          <w:tab w:val="left" w:pos="1057"/>
        </w:tabs>
        <w:spacing w:line="300" w:lineRule="exact"/>
        <w:jc w:val="both"/>
        <w:rPr>
          <w:color w:val="auto"/>
          <w:lang w:eastAsia="zh-CN"/>
        </w:rPr>
      </w:pPr>
      <w:r>
        <w:rPr>
          <w:color w:val="auto"/>
        </w:rPr>
        <w:t>学生应参加但未参加课程</w:t>
      </w:r>
      <w:r>
        <w:rPr>
          <w:rFonts w:hint="eastAsia"/>
          <w:color w:val="auto"/>
          <w:lang w:val="en-US" w:eastAsia="zh-CN"/>
        </w:rPr>
        <w:t>终结性</w:t>
      </w:r>
      <w:r>
        <w:rPr>
          <w:color w:val="auto"/>
        </w:rPr>
        <w:t>考核、课程缓考或课程补考，记为缺考。</w:t>
      </w:r>
    </w:p>
    <w:p>
      <w:pPr>
        <w:pStyle w:val="14"/>
        <w:tabs>
          <w:tab w:val="left" w:pos="1057"/>
        </w:tabs>
        <w:spacing w:line="300" w:lineRule="exact"/>
        <w:ind w:firstLine="420"/>
        <w:jc w:val="both"/>
        <w:rPr>
          <w:color w:val="auto"/>
        </w:rPr>
      </w:pPr>
      <w:bookmarkStart w:id="87" w:name="bookmark103"/>
      <w:r>
        <w:rPr>
          <w:color w:val="auto"/>
        </w:rPr>
        <w:t>（</w:t>
      </w:r>
      <w:bookmarkEnd w:id="87"/>
      <w:r>
        <w:rPr>
          <w:color w:val="auto"/>
        </w:rPr>
        <w:t>二）</w:t>
      </w:r>
      <w:r>
        <w:rPr>
          <w:color w:val="auto"/>
        </w:rPr>
        <w:tab/>
      </w:r>
      <w:r>
        <w:rPr>
          <w:color w:val="auto"/>
        </w:rPr>
        <w:t>缺考课程考核成绩以零分计，必须重修。</w:t>
      </w:r>
    </w:p>
    <w:p>
      <w:pPr>
        <w:pStyle w:val="14"/>
        <w:spacing w:line="300" w:lineRule="exact"/>
        <w:ind w:firstLine="420"/>
        <w:jc w:val="both"/>
        <w:rPr>
          <w:color w:val="auto"/>
        </w:rPr>
      </w:pPr>
      <w:r>
        <w:rPr>
          <w:color w:val="auto"/>
        </w:rPr>
        <w:t>第十八条</w:t>
      </w:r>
      <w:r>
        <w:rPr>
          <w:rFonts w:hint="eastAsia"/>
          <w:color w:val="auto"/>
          <w:lang w:eastAsia="zh-CN"/>
        </w:rPr>
        <w:t xml:space="preserve"> </w:t>
      </w:r>
      <w:r>
        <w:rPr>
          <w:color w:val="auto"/>
        </w:rPr>
        <w:t>考核成绩公布</w:t>
      </w:r>
    </w:p>
    <w:p>
      <w:pPr>
        <w:pStyle w:val="14"/>
        <w:tabs>
          <w:tab w:val="left" w:pos="1054"/>
        </w:tabs>
        <w:spacing w:line="300" w:lineRule="exact"/>
        <w:ind w:firstLine="420"/>
        <w:jc w:val="both"/>
        <w:rPr>
          <w:color w:val="auto"/>
        </w:rPr>
      </w:pPr>
      <w:bookmarkStart w:id="88" w:name="bookmark104"/>
      <w:r>
        <w:rPr>
          <w:color w:val="auto"/>
        </w:rPr>
        <w:t>（</w:t>
      </w:r>
      <w:bookmarkEnd w:id="88"/>
      <w:r>
        <w:rPr>
          <w:color w:val="auto"/>
        </w:rPr>
        <w:t>一）</w:t>
      </w:r>
      <w:r>
        <w:rPr>
          <w:color w:val="auto"/>
        </w:rPr>
        <w:tab/>
      </w:r>
      <w:r>
        <w:rPr>
          <w:color w:val="auto"/>
        </w:rPr>
        <w:t>课程考核结束后，成绩由学校统一发布</w:t>
      </w:r>
      <w:r>
        <w:rPr>
          <w:rFonts w:hint="eastAsia"/>
          <w:color w:val="auto"/>
          <w:lang w:eastAsia="zh-CN"/>
        </w:rPr>
        <w:t>，</w:t>
      </w:r>
      <w:r>
        <w:rPr>
          <w:color w:val="auto"/>
        </w:rPr>
        <w:t>任课教师不得向学生直接公布成绩</w:t>
      </w:r>
      <w:r>
        <w:rPr>
          <w:rFonts w:hint="eastAsia"/>
          <w:color w:val="auto"/>
          <w:lang w:eastAsia="zh-CN"/>
        </w:rPr>
        <w:t>，</w:t>
      </w:r>
      <w:r>
        <w:rPr>
          <w:color w:val="auto"/>
        </w:rPr>
        <w:t>学生应通过教务系统等渠道查询本人的课程考核成绩。</w:t>
      </w:r>
    </w:p>
    <w:p>
      <w:pPr>
        <w:pStyle w:val="14"/>
        <w:tabs>
          <w:tab w:val="left" w:pos="1059"/>
        </w:tabs>
        <w:spacing w:line="300" w:lineRule="exact"/>
        <w:ind w:firstLine="420"/>
        <w:jc w:val="both"/>
        <w:rPr>
          <w:color w:val="auto"/>
          <w:lang w:eastAsia="zh-CN"/>
        </w:rPr>
      </w:pPr>
      <w:bookmarkStart w:id="89" w:name="bookmark105"/>
      <w:r>
        <w:rPr>
          <w:color w:val="auto"/>
        </w:rPr>
        <w:t>（</w:t>
      </w:r>
      <w:bookmarkEnd w:id="89"/>
      <w:r>
        <w:rPr>
          <w:color w:val="auto"/>
        </w:rPr>
        <w:t>二）</w:t>
      </w:r>
      <w:r>
        <w:rPr>
          <w:color w:val="auto"/>
        </w:rPr>
        <w:tab/>
      </w:r>
      <w:r>
        <w:rPr>
          <w:color w:val="auto"/>
        </w:rPr>
        <w:t>一般情况下不予查阅试卷。如学生对考核成绩确有</w:t>
      </w:r>
      <w:r>
        <w:rPr>
          <w:rFonts w:hint="eastAsia"/>
          <w:color w:val="auto"/>
          <w:lang w:val="en-US" w:eastAsia="zh-CN"/>
        </w:rPr>
        <w:t>异议</w:t>
      </w:r>
      <w:r>
        <w:rPr>
          <w:color w:val="auto"/>
        </w:rPr>
        <w:t>，应向所在学院提出书面申请，由所在学院批转开课学院查阅试卷。期中考试、不停课考试、考查的课程的试卷查阅在成绩发布后至本学期放假前的期间受理</w:t>
      </w:r>
      <w:r>
        <w:rPr>
          <w:rFonts w:hint="eastAsia"/>
          <w:color w:val="auto"/>
          <w:lang w:eastAsia="zh-CN"/>
        </w:rPr>
        <w:t>。</w:t>
      </w:r>
      <w:r>
        <w:rPr>
          <w:color w:val="auto"/>
        </w:rPr>
        <w:t>期末考试的课程试卷查阅</w:t>
      </w:r>
      <w:r>
        <w:rPr>
          <w:rFonts w:hint="eastAsia"/>
          <w:color w:val="auto"/>
          <w:lang w:val="en-US" w:eastAsia="zh-CN"/>
        </w:rPr>
        <w:t>于</w:t>
      </w:r>
      <w:r>
        <w:rPr>
          <w:color w:val="auto"/>
        </w:rPr>
        <w:t>下学期开学后三周内受理</w:t>
      </w:r>
      <w:r>
        <w:rPr>
          <w:rFonts w:hint="eastAsia"/>
          <w:color w:val="auto"/>
          <w:lang w:eastAsia="zh-CN"/>
        </w:rPr>
        <w:t>，</w:t>
      </w:r>
      <w:r>
        <w:rPr>
          <w:color w:val="auto"/>
        </w:rPr>
        <w:t>其它时间概不受理。</w:t>
      </w:r>
    </w:p>
    <w:p>
      <w:pPr>
        <w:pStyle w:val="14"/>
        <w:spacing w:line="300" w:lineRule="exact"/>
        <w:ind w:firstLine="420"/>
        <w:jc w:val="both"/>
        <w:rPr>
          <w:color w:val="auto"/>
        </w:rPr>
      </w:pPr>
      <w:r>
        <w:rPr>
          <w:color w:val="auto"/>
        </w:rPr>
        <w:t>第十九条</w:t>
      </w:r>
      <w:r>
        <w:rPr>
          <w:rFonts w:hint="eastAsia"/>
          <w:color w:val="auto"/>
          <w:lang w:eastAsia="zh-CN"/>
        </w:rPr>
        <w:t xml:space="preserve"> </w:t>
      </w:r>
      <w:r>
        <w:rPr>
          <w:color w:val="auto"/>
        </w:rPr>
        <w:t>考核违纪</w:t>
      </w:r>
    </w:p>
    <w:p>
      <w:pPr>
        <w:pStyle w:val="14"/>
        <w:spacing w:line="300" w:lineRule="exact"/>
        <w:ind w:firstLine="420"/>
        <w:jc w:val="both"/>
        <w:rPr>
          <w:color w:val="auto"/>
        </w:rPr>
      </w:pPr>
      <w:r>
        <w:rPr>
          <w:color w:val="auto"/>
        </w:rPr>
        <w:t>（</w:t>
      </w:r>
      <w:r>
        <w:rPr>
          <w:rFonts w:hint="eastAsia"/>
          <w:color w:val="auto"/>
        </w:rPr>
        <w:t>一</w:t>
      </w:r>
      <w:r>
        <w:rPr>
          <w:color w:val="auto"/>
        </w:rPr>
        <w:t>）学生因违反考试纪律、违反学术道德受到纪律处分的，该课程考核成绩无效，并在学习过程成绩档案中记载</w:t>
      </w:r>
      <w:r>
        <w:rPr>
          <w:color w:val="auto"/>
          <w:lang w:val="zh-CN" w:eastAsia="zh-CN" w:bidi="zh-CN"/>
        </w:rPr>
        <w:t>“作</w:t>
      </w:r>
      <w:r>
        <w:rPr>
          <w:color w:val="auto"/>
        </w:rPr>
        <w:t>弊”、</w:t>
      </w:r>
      <w:r>
        <w:rPr>
          <w:color w:val="auto"/>
          <w:lang w:val="zh-CN" w:eastAsia="zh-CN" w:bidi="zh-CN"/>
        </w:rPr>
        <w:t>“违</w:t>
      </w:r>
      <w:r>
        <w:rPr>
          <w:color w:val="auto"/>
        </w:rPr>
        <w:t>纪”字样。</w:t>
      </w:r>
    </w:p>
    <w:p>
      <w:pPr>
        <w:pStyle w:val="14"/>
        <w:spacing w:after="320" w:line="300" w:lineRule="exact"/>
        <w:ind w:firstLine="420"/>
        <w:jc w:val="both"/>
        <w:rPr>
          <w:color w:val="auto"/>
          <w:lang w:eastAsia="zh-CN"/>
        </w:rPr>
      </w:pPr>
      <w:r>
        <w:rPr>
          <w:color w:val="auto"/>
        </w:rPr>
        <w:t>（二）考核违纪学生不予补考</w:t>
      </w:r>
      <w:r>
        <w:rPr>
          <w:rFonts w:hint="eastAsia"/>
          <w:color w:val="auto"/>
          <w:lang w:eastAsia="zh-CN"/>
        </w:rPr>
        <w:t>，</w:t>
      </w:r>
      <w:r>
        <w:rPr>
          <w:rFonts w:hint="eastAsia"/>
          <w:color w:val="auto"/>
          <w:lang w:val="en-US" w:eastAsia="zh-CN"/>
        </w:rPr>
        <w:t>应</w:t>
      </w:r>
      <w:r>
        <w:rPr>
          <w:color w:val="auto"/>
        </w:rPr>
        <w:t>重修。</w:t>
      </w:r>
    </w:p>
    <w:p>
      <w:pPr>
        <w:pStyle w:val="18"/>
        <w:keepNext/>
        <w:keepLines/>
        <w:spacing w:after="320"/>
        <w:rPr>
          <w:color w:val="auto"/>
        </w:rPr>
      </w:pPr>
      <w:bookmarkStart w:id="90" w:name="bookmark107"/>
      <w:bookmarkStart w:id="91" w:name="bookmark108"/>
      <w:bookmarkStart w:id="92" w:name="bookmark106"/>
      <w:r>
        <w:rPr>
          <w:color w:val="auto"/>
        </w:rPr>
        <w:t>第四章</w:t>
      </w:r>
      <w:r>
        <w:rPr>
          <w:rFonts w:hint="eastAsia"/>
          <w:color w:val="auto"/>
          <w:lang w:eastAsia="zh-CN"/>
        </w:rPr>
        <w:t xml:space="preserve"> </w:t>
      </w:r>
      <w:r>
        <w:rPr>
          <w:color w:val="auto"/>
        </w:rPr>
        <w:t>休学与复学</w:t>
      </w:r>
      <w:bookmarkEnd w:id="90"/>
      <w:bookmarkEnd w:id="91"/>
      <w:bookmarkEnd w:id="92"/>
    </w:p>
    <w:p>
      <w:pPr>
        <w:pStyle w:val="14"/>
        <w:spacing w:line="300" w:lineRule="exact"/>
        <w:ind w:firstLine="420"/>
        <w:jc w:val="both"/>
        <w:rPr>
          <w:color w:val="auto"/>
        </w:rPr>
      </w:pPr>
      <w:r>
        <w:rPr>
          <w:color w:val="auto"/>
        </w:rPr>
        <w:t>第二十条</w:t>
      </w:r>
      <w:r>
        <w:rPr>
          <w:rFonts w:hint="eastAsia"/>
          <w:color w:val="auto"/>
          <w:lang w:eastAsia="zh-CN"/>
        </w:rPr>
        <w:t xml:space="preserve"> </w:t>
      </w:r>
      <w:r>
        <w:rPr>
          <w:color w:val="auto"/>
        </w:rPr>
        <w:t>休学</w:t>
      </w:r>
    </w:p>
    <w:p>
      <w:pPr>
        <w:pStyle w:val="14"/>
        <w:numPr>
          <w:ilvl w:val="0"/>
          <w:numId w:val="3"/>
        </w:numPr>
        <w:spacing w:line="300" w:lineRule="exact"/>
        <w:ind w:firstLine="420"/>
        <w:jc w:val="both"/>
        <w:rPr>
          <w:color w:val="auto"/>
        </w:rPr>
      </w:pPr>
      <w:r>
        <w:rPr>
          <w:color w:val="auto"/>
        </w:rPr>
        <w:t>经医院诊断，并由学校指定医院认定，治疗修养期占一学期的三分之一以上者，由学生本人填写</w:t>
      </w:r>
      <w:r>
        <w:rPr>
          <w:rFonts w:hint="eastAsia"/>
          <w:color w:val="auto"/>
          <w:lang w:eastAsia="zh-CN"/>
        </w:rPr>
        <w:t>《</w:t>
      </w:r>
      <w:r>
        <w:rPr>
          <w:color w:val="auto"/>
          <w:lang w:val="zh-CN" w:eastAsia="zh-CN" w:bidi="zh-CN"/>
        </w:rPr>
        <w:t>休</w:t>
      </w:r>
      <w:r>
        <w:rPr>
          <w:color w:val="auto"/>
        </w:rPr>
        <w:t>学申请表</w:t>
      </w:r>
      <w:r>
        <w:rPr>
          <w:rFonts w:hint="eastAsia"/>
          <w:color w:val="auto"/>
          <w:lang w:eastAsia="zh-CN"/>
        </w:rPr>
        <w:t>》</w:t>
      </w:r>
      <w:r>
        <w:rPr>
          <w:color w:val="auto"/>
        </w:rPr>
        <w:t>，经所在学院同意，报教学科研处和学生工作处备案后予以休学，学生须离校治疗。</w:t>
      </w:r>
    </w:p>
    <w:p>
      <w:pPr>
        <w:pStyle w:val="14"/>
        <w:numPr>
          <w:ilvl w:val="0"/>
          <w:numId w:val="3"/>
        </w:numPr>
        <w:tabs>
          <w:tab w:val="left" w:pos="1059"/>
        </w:tabs>
        <w:spacing w:line="300" w:lineRule="exact"/>
        <w:ind w:firstLine="420"/>
        <w:jc w:val="both"/>
        <w:rPr>
          <w:color w:val="auto"/>
        </w:rPr>
      </w:pPr>
      <w:r>
        <w:rPr>
          <w:color w:val="auto"/>
        </w:rPr>
        <w:t>因出国、创业等原因需暂停学业，由学生填</w:t>
      </w:r>
      <w:r>
        <w:rPr>
          <w:rFonts w:hint="eastAsia"/>
          <w:color w:val="auto"/>
          <w:lang w:val="en-US" w:eastAsia="zh-CN"/>
        </w:rPr>
        <w:t>写</w:t>
      </w:r>
      <w:r>
        <w:rPr>
          <w:rFonts w:hint="eastAsia"/>
          <w:color w:val="auto"/>
          <w:lang w:eastAsia="zh-CN"/>
        </w:rPr>
        <w:t>《</w:t>
      </w:r>
      <w:r>
        <w:rPr>
          <w:color w:val="auto"/>
          <w:lang w:val="zh-CN" w:eastAsia="zh-CN" w:bidi="zh-CN"/>
        </w:rPr>
        <w:t>休</w:t>
      </w:r>
      <w:r>
        <w:rPr>
          <w:color w:val="auto"/>
        </w:rPr>
        <w:t>学申请表</w:t>
      </w:r>
      <w:r>
        <w:rPr>
          <w:rFonts w:hint="eastAsia"/>
          <w:color w:val="auto"/>
          <w:lang w:eastAsia="zh-CN"/>
        </w:rPr>
        <w:t>》</w:t>
      </w:r>
      <w:r>
        <w:rPr>
          <w:color w:val="auto"/>
        </w:rPr>
        <w:t>，经所在学院同意, 教学科研处、学生工作处审核后准予休学。</w:t>
      </w:r>
    </w:p>
    <w:p>
      <w:pPr>
        <w:pStyle w:val="14"/>
        <w:numPr>
          <w:ilvl w:val="0"/>
          <w:numId w:val="3"/>
        </w:numPr>
        <w:tabs>
          <w:tab w:val="left" w:pos="1066"/>
        </w:tabs>
        <w:spacing w:line="300" w:lineRule="exact"/>
        <w:ind w:firstLine="420"/>
        <w:jc w:val="both"/>
        <w:rPr>
          <w:color w:val="auto"/>
          <w:lang w:eastAsia="zh-CN"/>
        </w:rPr>
      </w:pPr>
      <w:r>
        <w:rPr>
          <w:color w:val="auto"/>
        </w:rPr>
        <w:t>一学期请假累计超过一个月，应</w:t>
      </w:r>
      <w:r>
        <w:rPr>
          <w:rFonts w:hint="eastAsia"/>
          <w:color w:val="auto"/>
          <w:lang w:val="en-US" w:eastAsia="zh-CN"/>
        </w:rPr>
        <w:t>办理休学手续。</w:t>
      </w:r>
      <w:r>
        <w:rPr>
          <w:color w:val="auto"/>
        </w:rPr>
        <w:t>每次休学</w:t>
      </w:r>
      <w:r>
        <w:rPr>
          <w:rFonts w:hint="eastAsia"/>
          <w:color w:val="auto"/>
        </w:rPr>
        <w:t>一般为</w:t>
      </w:r>
      <w:r>
        <w:rPr>
          <w:color w:val="auto"/>
        </w:rPr>
        <w:t>一</w:t>
      </w:r>
      <w:r>
        <w:rPr>
          <w:rFonts w:hint="eastAsia"/>
          <w:color w:val="auto"/>
          <w:lang w:val="en-US" w:eastAsia="zh-CN"/>
        </w:rPr>
        <w:t>年</w:t>
      </w:r>
      <w:r>
        <w:rPr>
          <w:color w:val="auto"/>
        </w:rPr>
        <w:t>，休学期间须离校，不享受在校生的待遇，学校保留学籍</w:t>
      </w:r>
      <w:r>
        <w:rPr>
          <w:rFonts w:hint="eastAsia"/>
          <w:color w:val="auto"/>
          <w:lang w:eastAsia="zh-CN"/>
        </w:rPr>
        <w:t>。</w:t>
      </w:r>
    </w:p>
    <w:p>
      <w:pPr>
        <w:pStyle w:val="14"/>
        <w:numPr>
          <w:ilvl w:val="0"/>
          <w:numId w:val="3"/>
        </w:numPr>
        <w:tabs>
          <w:tab w:val="left" w:pos="1066"/>
        </w:tabs>
        <w:spacing w:line="300" w:lineRule="exact"/>
        <w:ind w:firstLine="420"/>
        <w:jc w:val="both"/>
        <w:rPr>
          <w:color w:val="auto"/>
        </w:rPr>
      </w:pPr>
      <w:r>
        <w:rPr>
          <w:color w:val="auto"/>
        </w:rPr>
        <w:t>原则上入学第</w:t>
      </w:r>
      <w:r>
        <w:rPr>
          <w:rFonts w:hint="eastAsia"/>
          <w:color w:val="auto"/>
          <w:lang w:val="en-US" w:eastAsia="zh-CN"/>
        </w:rPr>
        <w:t>一</w:t>
      </w:r>
      <w:r>
        <w:rPr>
          <w:color w:val="auto"/>
        </w:rPr>
        <w:t>学期不能休学，如确需暂停学业，经批准后办理保留入学资格手续。</w:t>
      </w:r>
    </w:p>
    <w:p>
      <w:pPr>
        <w:pStyle w:val="14"/>
        <w:numPr>
          <w:ilvl w:val="0"/>
          <w:numId w:val="3"/>
        </w:numPr>
        <w:tabs>
          <w:tab w:val="left" w:pos="1066"/>
        </w:tabs>
        <w:spacing w:line="300" w:lineRule="exact"/>
        <w:ind w:firstLine="420"/>
        <w:jc w:val="both"/>
        <w:rPr>
          <w:color w:val="auto"/>
          <w:lang w:eastAsia="zh-CN"/>
        </w:rPr>
      </w:pPr>
      <w:r>
        <w:rPr>
          <w:rFonts w:hint="eastAsia"/>
          <w:color w:val="auto"/>
          <w:lang w:val="en-US" w:eastAsia="zh-CN"/>
        </w:rPr>
        <w:t>经学校批准可连续休学两次，但累计不得超过两年。</w:t>
      </w:r>
    </w:p>
    <w:p>
      <w:pPr>
        <w:pStyle w:val="14"/>
        <w:spacing w:line="300" w:lineRule="exact"/>
        <w:ind w:firstLine="420"/>
        <w:jc w:val="both"/>
        <w:rPr>
          <w:color w:val="auto"/>
          <w:lang w:eastAsia="zh-CN"/>
        </w:rPr>
      </w:pPr>
      <w:r>
        <w:rPr>
          <w:color w:val="auto"/>
        </w:rPr>
        <w:t>第二十一条 学生应征参加中国人民解放军</w:t>
      </w:r>
      <w:r>
        <w:rPr>
          <w:rFonts w:hint="eastAsia"/>
          <w:color w:val="auto"/>
        </w:rPr>
        <w:t>（含</w:t>
      </w:r>
      <w:r>
        <w:rPr>
          <w:color w:val="auto"/>
        </w:rPr>
        <w:t>中国人民武装警察部队</w:t>
      </w:r>
      <w:r>
        <w:rPr>
          <w:rFonts w:hint="eastAsia"/>
          <w:color w:val="auto"/>
        </w:rPr>
        <w:t>）</w:t>
      </w:r>
      <w:r>
        <w:rPr>
          <w:color w:val="auto"/>
        </w:rPr>
        <w:t>，可保留其学籍至退役后二年。</w:t>
      </w:r>
    </w:p>
    <w:p>
      <w:pPr>
        <w:pStyle w:val="14"/>
        <w:spacing w:line="300" w:lineRule="exact"/>
        <w:ind w:firstLine="420"/>
        <w:jc w:val="both"/>
        <w:rPr>
          <w:color w:val="auto"/>
        </w:rPr>
      </w:pPr>
      <w:r>
        <w:rPr>
          <w:color w:val="auto"/>
        </w:rPr>
        <w:t>第二十二条</w:t>
      </w:r>
      <w:r>
        <w:rPr>
          <w:rFonts w:hint="eastAsia"/>
          <w:color w:val="auto"/>
          <w:lang w:eastAsia="zh-CN"/>
        </w:rPr>
        <w:t xml:space="preserve"> </w:t>
      </w:r>
      <w:r>
        <w:rPr>
          <w:color w:val="auto"/>
        </w:rPr>
        <w:t>复学</w:t>
      </w:r>
    </w:p>
    <w:p>
      <w:pPr>
        <w:pStyle w:val="14"/>
        <w:tabs>
          <w:tab w:val="left" w:pos="1054"/>
        </w:tabs>
        <w:spacing w:line="300" w:lineRule="exact"/>
        <w:ind w:firstLine="420"/>
        <w:jc w:val="both"/>
        <w:rPr>
          <w:color w:val="auto"/>
        </w:rPr>
      </w:pPr>
      <w:bookmarkStart w:id="93" w:name="bookmark114"/>
      <w:r>
        <w:rPr>
          <w:color w:val="auto"/>
        </w:rPr>
        <w:t>（</w:t>
      </w:r>
      <w:bookmarkEnd w:id="93"/>
      <w:r>
        <w:rPr>
          <w:color w:val="auto"/>
        </w:rPr>
        <w:t>一）</w:t>
      </w:r>
      <w:r>
        <w:rPr>
          <w:color w:val="auto"/>
        </w:rPr>
        <w:tab/>
      </w:r>
      <w:r>
        <w:rPr>
          <w:color w:val="auto"/>
        </w:rPr>
        <w:t>学生应提前一周向所在学院申请复学</w:t>
      </w:r>
      <w:r>
        <w:rPr>
          <w:rFonts w:hint="eastAsia"/>
          <w:color w:val="auto"/>
          <w:lang w:eastAsia="zh-CN"/>
        </w:rPr>
        <w:t>，</w:t>
      </w:r>
      <w:r>
        <w:rPr>
          <w:color w:val="auto"/>
        </w:rPr>
        <w:t>休学期满时若不能复学，应提出延长申请, 延长期不得超过一年。</w:t>
      </w:r>
    </w:p>
    <w:p>
      <w:pPr>
        <w:pStyle w:val="14"/>
        <w:tabs>
          <w:tab w:val="left" w:pos="1054"/>
        </w:tabs>
        <w:spacing w:line="300" w:lineRule="exact"/>
        <w:ind w:firstLine="420"/>
        <w:jc w:val="both"/>
        <w:rPr>
          <w:color w:val="auto"/>
          <w:lang w:eastAsia="zh-CN"/>
        </w:rPr>
      </w:pPr>
      <w:bookmarkStart w:id="94" w:name="bookmark115"/>
      <w:r>
        <w:rPr>
          <w:color w:val="auto"/>
        </w:rPr>
        <w:t>（</w:t>
      </w:r>
      <w:bookmarkEnd w:id="94"/>
      <w:r>
        <w:rPr>
          <w:color w:val="auto"/>
        </w:rPr>
        <w:t>二）</w:t>
      </w:r>
      <w:r>
        <w:rPr>
          <w:color w:val="auto"/>
        </w:rPr>
        <w:tab/>
      </w:r>
      <w:r>
        <w:rPr>
          <w:color w:val="auto"/>
        </w:rPr>
        <w:t>学生复学时，需提供休学期间主要活动情况的说明（聘用单位或街道办事处提供 的有关无犯罪记录证明）和体检合格证明。因病休学学生还应提供医院疾病康复证明，并由学校指定医院复査，证明已恢复健康，经学校审核合格者，办理复学手续。</w:t>
      </w:r>
    </w:p>
    <w:p>
      <w:pPr>
        <w:pStyle w:val="14"/>
        <w:tabs>
          <w:tab w:val="left" w:pos="1059"/>
        </w:tabs>
        <w:spacing w:line="300" w:lineRule="exact"/>
        <w:ind w:firstLine="420"/>
        <w:jc w:val="both"/>
        <w:rPr>
          <w:color w:val="auto"/>
        </w:rPr>
      </w:pPr>
      <w:bookmarkStart w:id="95" w:name="bookmark116"/>
      <w:r>
        <w:rPr>
          <w:color w:val="auto"/>
        </w:rPr>
        <w:t>（</w:t>
      </w:r>
      <w:bookmarkEnd w:id="95"/>
      <w:r>
        <w:rPr>
          <w:color w:val="auto"/>
        </w:rPr>
        <w:t>三）</w:t>
      </w:r>
      <w:r>
        <w:rPr>
          <w:color w:val="auto"/>
        </w:rPr>
        <w:tab/>
      </w:r>
      <w:r>
        <w:rPr>
          <w:color w:val="auto"/>
        </w:rPr>
        <w:t>学生在休学期间有违法违纪行为的，按《南京航空航天大学金城学院学生违纪处分办法》给予相应处理。</w:t>
      </w:r>
    </w:p>
    <w:p>
      <w:pPr>
        <w:pStyle w:val="14"/>
        <w:tabs>
          <w:tab w:val="left" w:pos="1059"/>
        </w:tabs>
        <w:spacing w:line="300" w:lineRule="exact"/>
        <w:ind w:firstLine="420"/>
        <w:jc w:val="both"/>
        <w:rPr>
          <w:color w:val="auto"/>
        </w:rPr>
      </w:pPr>
      <w:bookmarkStart w:id="96" w:name="bookmark117"/>
      <w:r>
        <w:rPr>
          <w:color w:val="auto"/>
        </w:rPr>
        <w:t>（</w:t>
      </w:r>
      <w:bookmarkEnd w:id="96"/>
      <w:r>
        <w:rPr>
          <w:color w:val="auto"/>
        </w:rPr>
        <w:t>四）</w:t>
      </w:r>
      <w:r>
        <w:rPr>
          <w:color w:val="auto"/>
        </w:rPr>
        <w:tab/>
      </w:r>
      <w:r>
        <w:rPr>
          <w:color w:val="auto"/>
        </w:rPr>
        <w:t>学生复学时，编入下一年级同专业学习，若原专业下一年级停止招生，可安排到相近专业学习。</w:t>
      </w:r>
    </w:p>
    <w:p>
      <w:pPr>
        <w:pStyle w:val="14"/>
        <w:tabs>
          <w:tab w:val="left" w:pos="1066"/>
        </w:tabs>
        <w:spacing w:after="380" w:line="300" w:lineRule="exact"/>
        <w:ind w:firstLine="420"/>
        <w:jc w:val="both"/>
        <w:rPr>
          <w:color w:val="auto"/>
        </w:rPr>
      </w:pPr>
      <w:bookmarkStart w:id="97" w:name="bookmark118"/>
      <w:r>
        <w:rPr>
          <w:color w:val="auto"/>
        </w:rPr>
        <w:t>（</w:t>
      </w:r>
      <w:bookmarkEnd w:id="97"/>
      <w:r>
        <w:rPr>
          <w:color w:val="auto"/>
        </w:rPr>
        <w:t>五）</w:t>
      </w:r>
      <w:r>
        <w:rPr>
          <w:color w:val="auto"/>
        </w:rPr>
        <w:tab/>
      </w:r>
      <w:r>
        <w:rPr>
          <w:color w:val="auto"/>
        </w:rPr>
        <w:t>结业、肄业和退学的学生不得申请复学。</w:t>
      </w:r>
    </w:p>
    <w:p>
      <w:pPr>
        <w:pStyle w:val="14"/>
        <w:spacing w:line="300" w:lineRule="exact"/>
        <w:ind w:firstLine="420"/>
        <w:jc w:val="both"/>
        <w:rPr>
          <w:color w:val="auto"/>
        </w:rPr>
      </w:pPr>
      <w:bookmarkStart w:id="98" w:name="bookmark120"/>
      <w:bookmarkStart w:id="99" w:name="bookmark119"/>
      <w:bookmarkStart w:id="100" w:name="bookmark121"/>
      <w:r>
        <w:rPr>
          <w:color w:val="auto"/>
        </w:rPr>
        <w:t>第五章</w:t>
      </w:r>
      <w:r>
        <w:rPr>
          <w:rFonts w:hint="eastAsia"/>
          <w:color w:val="auto"/>
          <w:lang w:eastAsia="zh-CN"/>
        </w:rPr>
        <w:t xml:space="preserve"> </w:t>
      </w:r>
      <w:r>
        <w:rPr>
          <w:color w:val="auto"/>
        </w:rPr>
        <w:t>转专业、转学</w:t>
      </w:r>
      <w:bookmarkEnd w:id="98"/>
      <w:bookmarkEnd w:id="99"/>
      <w:bookmarkEnd w:id="100"/>
    </w:p>
    <w:p>
      <w:pPr>
        <w:pStyle w:val="14"/>
        <w:spacing w:line="300" w:lineRule="exact"/>
        <w:ind w:firstLine="420"/>
        <w:jc w:val="both"/>
        <w:rPr>
          <w:color w:val="auto"/>
        </w:rPr>
      </w:pPr>
      <w:r>
        <w:rPr>
          <w:color w:val="auto"/>
        </w:rPr>
        <w:t>第二十三条</w:t>
      </w:r>
      <w:r>
        <w:rPr>
          <w:rFonts w:hint="eastAsia"/>
          <w:color w:val="auto"/>
          <w:lang w:eastAsia="zh-CN"/>
        </w:rPr>
        <w:t xml:space="preserve"> </w:t>
      </w:r>
      <w:r>
        <w:rPr>
          <w:color w:val="auto"/>
        </w:rPr>
        <w:t>转专业</w:t>
      </w:r>
    </w:p>
    <w:p>
      <w:pPr>
        <w:pStyle w:val="14"/>
        <w:spacing w:line="300" w:lineRule="exact"/>
        <w:ind w:firstLine="420"/>
        <w:jc w:val="both"/>
        <w:rPr>
          <w:color w:val="auto"/>
        </w:rPr>
      </w:pPr>
      <w:r>
        <w:rPr>
          <w:rFonts w:hint="eastAsia"/>
          <w:color w:val="auto"/>
          <w:lang w:val="en-US" w:eastAsia="zh-CN"/>
        </w:rPr>
        <w:t>转专业相关规定详见《南京航空航天大学金城学院本科生转专业实施细则（暂行）》。</w:t>
      </w:r>
    </w:p>
    <w:p>
      <w:pPr>
        <w:pStyle w:val="14"/>
        <w:spacing w:line="300" w:lineRule="exact"/>
        <w:ind w:firstLine="420"/>
        <w:jc w:val="both"/>
        <w:rPr>
          <w:color w:val="auto"/>
        </w:rPr>
      </w:pPr>
      <w:r>
        <w:rPr>
          <w:color w:val="auto"/>
        </w:rPr>
        <w:t>第二十四条</w:t>
      </w:r>
      <w:r>
        <w:rPr>
          <w:rFonts w:hint="eastAsia"/>
          <w:color w:val="auto"/>
          <w:lang w:eastAsia="zh-CN"/>
        </w:rPr>
        <w:t xml:space="preserve"> </w:t>
      </w:r>
      <w:r>
        <w:rPr>
          <w:color w:val="auto"/>
        </w:rPr>
        <w:t>转学</w:t>
      </w:r>
    </w:p>
    <w:p>
      <w:pPr>
        <w:pStyle w:val="14"/>
        <w:spacing w:line="300" w:lineRule="exact"/>
        <w:ind w:firstLine="420"/>
        <w:jc w:val="both"/>
        <w:rPr>
          <w:color w:val="auto"/>
        </w:rPr>
      </w:pPr>
      <w:bookmarkStart w:id="101" w:name="bookmark129"/>
      <w:r>
        <w:rPr>
          <w:color w:val="auto"/>
        </w:rPr>
        <w:t>（</w:t>
      </w:r>
      <w:bookmarkEnd w:id="101"/>
      <w:r>
        <w:rPr>
          <w:color w:val="auto"/>
        </w:rPr>
        <w:t>一）学生应在本校完成学业。如患病或者确有特殊困难</w:t>
      </w:r>
      <w:r>
        <w:rPr>
          <w:rFonts w:hint="eastAsia"/>
          <w:color w:val="auto"/>
          <w:lang w:eastAsia="zh-CN"/>
        </w:rPr>
        <w:t>，</w:t>
      </w:r>
      <w:r>
        <w:rPr>
          <w:color w:val="auto"/>
        </w:rPr>
        <w:t>无法继续在本校学习的学生, 可以申请转学。有下列情形之一，不得转学：</w:t>
      </w:r>
    </w:p>
    <w:p>
      <w:pPr>
        <w:pStyle w:val="14"/>
        <w:spacing w:line="300" w:lineRule="exact"/>
        <w:ind w:firstLine="420"/>
        <w:jc w:val="both"/>
        <w:rPr>
          <w:color w:val="auto"/>
        </w:rPr>
      </w:pPr>
      <w:r>
        <w:rPr>
          <w:color w:val="auto"/>
        </w:rPr>
        <w:t>1</w:t>
      </w:r>
      <w:r>
        <w:rPr>
          <w:rFonts w:hint="eastAsia"/>
          <w:color w:val="auto"/>
          <w:lang w:eastAsia="zh-CN"/>
        </w:rPr>
        <w:t>.</w:t>
      </w:r>
      <w:r>
        <w:rPr>
          <w:color w:val="auto"/>
        </w:rPr>
        <w:t>入学未满一学期或者毕业前一年的；</w:t>
      </w:r>
    </w:p>
    <w:p>
      <w:pPr>
        <w:pStyle w:val="14"/>
        <w:spacing w:line="300" w:lineRule="exact"/>
        <w:ind w:firstLine="420"/>
        <w:jc w:val="both"/>
        <w:rPr>
          <w:color w:val="auto"/>
        </w:rPr>
      </w:pPr>
      <w:r>
        <w:rPr>
          <w:rFonts w:hint="eastAsia"/>
          <w:color w:val="auto"/>
          <w:lang w:val="en-US" w:eastAsia="zh-CN"/>
        </w:rPr>
        <w:t>2.</w:t>
      </w:r>
      <w:r>
        <w:rPr>
          <w:color w:val="auto"/>
        </w:rPr>
        <w:t>高考成绩低于拟转入学校相关专业同一生源地相应年份录取成绩的；</w:t>
      </w:r>
    </w:p>
    <w:p>
      <w:pPr>
        <w:pStyle w:val="14"/>
        <w:spacing w:line="300" w:lineRule="exact"/>
        <w:ind w:firstLine="420"/>
        <w:jc w:val="both"/>
        <w:rPr>
          <w:color w:val="auto"/>
        </w:rPr>
      </w:pPr>
      <w:r>
        <w:rPr>
          <w:rFonts w:hint="eastAsia"/>
          <w:color w:val="auto"/>
          <w:lang w:val="en-US" w:eastAsia="zh-CN"/>
        </w:rPr>
        <w:t>3.</w:t>
      </w:r>
      <w:r>
        <w:rPr>
          <w:color w:val="auto"/>
        </w:rPr>
        <w:t>由低学历层次转为高学历层次的；</w:t>
      </w:r>
    </w:p>
    <w:p>
      <w:pPr>
        <w:pStyle w:val="14"/>
        <w:spacing w:line="300" w:lineRule="exact"/>
        <w:ind w:firstLine="420"/>
        <w:jc w:val="both"/>
        <w:rPr>
          <w:color w:val="auto"/>
        </w:rPr>
      </w:pPr>
      <w:r>
        <w:rPr>
          <w:rFonts w:hint="eastAsia"/>
          <w:color w:val="auto"/>
          <w:lang w:val="en-US" w:eastAsia="zh-CN"/>
        </w:rPr>
        <w:t>4.</w:t>
      </w:r>
      <w:r>
        <w:rPr>
          <w:color w:val="auto"/>
        </w:rPr>
        <w:t>以定向就业招生录取的；</w:t>
      </w:r>
    </w:p>
    <w:p>
      <w:pPr>
        <w:pStyle w:val="14"/>
        <w:spacing w:line="300" w:lineRule="exact"/>
        <w:ind w:firstLine="420"/>
        <w:jc w:val="both"/>
        <w:rPr>
          <w:color w:val="auto"/>
        </w:rPr>
      </w:pPr>
      <w:r>
        <w:rPr>
          <w:rFonts w:hint="eastAsia"/>
          <w:color w:val="auto"/>
          <w:lang w:val="en-US" w:eastAsia="zh-CN"/>
        </w:rPr>
        <w:t>5.</w:t>
      </w:r>
      <w:r>
        <w:rPr>
          <w:color w:val="auto"/>
        </w:rPr>
        <w:t>无正当转学理由的。</w:t>
      </w:r>
    </w:p>
    <w:p>
      <w:pPr>
        <w:pStyle w:val="14"/>
        <w:spacing w:line="300" w:lineRule="exact"/>
        <w:ind w:firstLine="420"/>
        <w:jc w:val="both"/>
        <w:rPr>
          <w:color w:val="auto"/>
          <w:lang w:eastAsia="zh-CN"/>
        </w:rPr>
      </w:pPr>
      <w:r>
        <w:rPr>
          <w:color w:val="auto"/>
        </w:rPr>
        <w:t>第二十五条 学生转学由学生本人提出申请，说明理由，经两校同意，由转出学校报江苏省教育厅确认转学理由正当，办理转学手续；跨省转学者须经江苏</w:t>
      </w:r>
      <w:r>
        <w:rPr>
          <w:rFonts w:hint="eastAsia"/>
          <w:color w:val="auto"/>
          <w:lang w:val="en-US" w:eastAsia="zh-CN"/>
        </w:rPr>
        <w:t>省</w:t>
      </w:r>
      <w:r>
        <w:rPr>
          <w:color w:val="auto"/>
        </w:rPr>
        <w:t>教育厅商转入地省级教育行政部门，按转学条件确认后办理转学手续。须转户口的由转入地省级教育行政部门将有关文件抄送转入校所在地公安机关。</w:t>
      </w:r>
    </w:p>
    <w:p>
      <w:pPr>
        <w:pStyle w:val="14"/>
        <w:spacing w:line="300" w:lineRule="exact"/>
        <w:ind w:firstLine="420"/>
        <w:jc w:val="both"/>
        <w:rPr>
          <w:color w:val="auto"/>
        </w:rPr>
      </w:pPr>
      <w:bookmarkStart w:id="102" w:name="bookmark134"/>
      <w:bookmarkStart w:id="103" w:name="bookmark135"/>
      <w:bookmarkStart w:id="104" w:name="bookmark133"/>
      <w:r>
        <w:rPr>
          <w:color w:val="auto"/>
        </w:rPr>
        <w:t>第六章 延长学习年限</w:t>
      </w:r>
      <w:bookmarkEnd w:id="102"/>
      <w:bookmarkEnd w:id="103"/>
      <w:bookmarkEnd w:id="104"/>
    </w:p>
    <w:p>
      <w:pPr>
        <w:pStyle w:val="14"/>
        <w:spacing w:line="300" w:lineRule="exact"/>
        <w:ind w:firstLine="420"/>
        <w:jc w:val="both"/>
        <w:rPr>
          <w:color w:val="auto"/>
          <w:lang w:eastAsia="zh-CN"/>
        </w:rPr>
      </w:pPr>
      <w:r>
        <w:rPr>
          <w:color w:val="auto"/>
        </w:rPr>
        <w:t>第二十六条</w:t>
      </w:r>
      <w:r>
        <w:rPr>
          <w:rFonts w:hint="eastAsia"/>
          <w:color w:val="auto"/>
          <w:lang w:eastAsia="zh-CN"/>
        </w:rPr>
        <w:t xml:space="preserve"> </w:t>
      </w:r>
      <w:r>
        <w:rPr>
          <w:color w:val="auto"/>
        </w:rPr>
        <w:t>在校学生可申请延长学习年限，每次申请延长年限为一年，不得超过两次</w:t>
      </w:r>
      <w:r>
        <w:rPr>
          <w:rFonts w:hint="eastAsia"/>
          <w:color w:val="auto"/>
          <w:lang w:eastAsia="zh-CN"/>
        </w:rPr>
        <w:t>，</w:t>
      </w:r>
      <w:r>
        <w:rPr>
          <w:color w:val="auto"/>
        </w:rPr>
        <w:t>最长不超过六年（含休学、延长学习</w:t>
      </w:r>
      <w:r>
        <w:rPr>
          <w:rFonts w:hint="eastAsia"/>
          <w:color w:val="auto"/>
          <w:lang w:val="en-US" w:eastAsia="zh-CN"/>
        </w:rPr>
        <w:t>年限等，下同</w:t>
      </w:r>
      <w:r>
        <w:rPr>
          <w:color w:val="auto"/>
        </w:rPr>
        <w:t>）</w:t>
      </w:r>
      <w:r>
        <w:rPr>
          <w:rFonts w:hint="eastAsia"/>
          <w:color w:val="auto"/>
          <w:lang w:eastAsia="zh-CN"/>
        </w:rPr>
        <w:t>；</w:t>
      </w:r>
      <w:r>
        <w:rPr>
          <w:color w:val="auto"/>
        </w:rPr>
        <w:t>专转本学生不得超过一次</w:t>
      </w:r>
      <w:r>
        <w:rPr>
          <w:rFonts w:hint="eastAsia"/>
          <w:color w:val="auto"/>
          <w:lang w:eastAsia="zh-CN"/>
        </w:rPr>
        <w:t>，</w:t>
      </w:r>
      <w:r>
        <w:rPr>
          <w:color w:val="auto"/>
        </w:rPr>
        <w:t>最长不超过</w:t>
      </w:r>
      <w:r>
        <w:rPr>
          <w:rFonts w:hint="eastAsia"/>
          <w:color w:val="auto"/>
          <w:lang w:val="en-US" w:eastAsia="zh-CN"/>
        </w:rPr>
        <w:t>三</w:t>
      </w:r>
      <w:r>
        <w:rPr>
          <w:color w:val="auto"/>
        </w:rPr>
        <w:t>年（含休学、延长学习</w:t>
      </w:r>
      <w:r>
        <w:rPr>
          <w:rFonts w:hint="eastAsia"/>
          <w:color w:val="auto"/>
          <w:lang w:val="en-US" w:eastAsia="zh-CN"/>
        </w:rPr>
        <w:t>年限等，下同</w:t>
      </w:r>
      <w:r>
        <w:rPr>
          <w:color w:val="auto"/>
        </w:rPr>
        <w:t>），但符合毕业和结业条件的学生不予延长学习年限。</w:t>
      </w:r>
    </w:p>
    <w:p>
      <w:pPr>
        <w:pStyle w:val="14"/>
        <w:spacing w:line="300" w:lineRule="exact"/>
        <w:ind w:firstLine="420"/>
        <w:jc w:val="both"/>
        <w:rPr>
          <w:color w:val="auto"/>
          <w:lang w:eastAsia="zh-CN"/>
        </w:rPr>
      </w:pPr>
      <w:r>
        <w:rPr>
          <w:color w:val="auto"/>
        </w:rPr>
        <w:t xml:space="preserve">第二十七条 </w:t>
      </w:r>
      <w:r>
        <w:rPr>
          <w:rFonts w:hint="eastAsia"/>
          <w:color w:val="auto"/>
          <w:lang w:val="en-US" w:eastAsia="zh-CN"/>
        </w:rPr>
        <w:t xml:space="preserve"> </w:t>
      </w:r>
      <w:r>
        <w:rPr>
          <w:color w:val="auto"/>
        </w:rPr>
        <w:t>学期所差学分累计大于等于14的学生，给予学业警示；当符合下列条件之一者，必须延长学习年限，否则作自动退学处理。</w:t>
      </w:r>
    </w:p>
    <w:p>
      <w:pPr>
        <w:pStyle w:val="14"/>
        <w:spacing w:line="300" w:lineRule="exact"/>
        <w:ind w:firstLine="420"/>
        <w:jc w:val="both"/>
        <w:rPr>
          <w:color w:val="auto"/>
        </w:rPr>
      </w:pPr>
      <w:bookmarkStart w:id="105" w:name="bookmark136"/>
      <w:r>
        <w:rPr>
          <w:color w:val="auto"/>
        </w:rPr>
        <w:t>（</w:t>
      </w:r>
      <w:bookmarkEnd w:id="105"/>
      <w:r>
        <w:rPr>
          <w:color w:val="auto"/>
        </w:rPr>
        <w:t>1</w:t>
      </w:r>
      <w:r>
        <w:rPr>
          <w:rFonts w:hint="eastAsia"/>
          <w:color w:val="auto"/>
          <w:lang w:eastAsia="zh-CN"/>
        </w:rPr>
        <w:t>）</w:t>
      </w:r>
      <w:r>
        <w:rPr>
          <w:color w:val="auto"/>
        </w:rPr>
        <w:t>在第一学年内取得学分数不足25；</w:t>
      </w:r>
    </w:p>
    <w:p>
      <w:pPr>
        <w:pStyle w:val="14"/>
        <w:spacing w:line="300" w:lineRule="exact"/>
        <w:ind w:firstLine="420"/>
        <w:jc w:val="both"/>
        <w:rPr>
          <w:color w:val="auto"/>
        </w:rPr>
      </w:pPr>
      <w:bookmarkStart w:id="106" w:name="bookmark137"/>
      <w:r>
        <w:rPr>
          <w:color w:val="auto"/>
        </w:rPr>
        <w:t>（</w:t>
      </w:r>
      <w:bookmarkEnd w:id="106"/>
      <w:r>
        <w:rPr>
          <w:color w:val="auto"/>
        </w:rPr>
        <w:t>2）在前二学年内取得学分数不足60；</w:t>
      </w:r>
    </w:p>
    <w:p>
      <w:pPr>
        <w:pStyle w:val="14"/>
        <w:spacing w:line="300" w:lineRule="exact"/>
        <w:ind w:firstLine="420"/>
        <w:jc w:val="both"/>
        <w:rPr>
          <w:color w:val="auto"/>
        </w:rPr>
      </w:pPr>
      <w:r>
        <w:rPr>
          <w:color w:val="auto"/>
        </w:rPr>
        <w:t>（3）在前三学年内取得学分数不足110；</w:t>
      </w:r>
    </w:p>
    <w:p>
      <w:pPr>
        <w:pStyle w:val="14"/>
        <w:spacing w:line="300" w:lineRule="exact"/>
        <w:ind w:firstLine="420"/>
        <w:jc w:val="both"/>
        <w:rPr>
          <w:color w:val="auto"/>
        </w:rPr>
      </w:pPr>
      <w:r>
        <w:rPr>
          <w:color w:val="auto"/>
        </w:rPr>
        <w:t>以上学年学分的计算不包括休学时间。</w:t>
      </w:r>
    </w:p>
    <w:p>
      <w:pPr>
        <w:pStyle w:val="14"/>
        <w:spacing w:line="300" w:lineRule="exact"/>
        <w:ind w:firstLine="420"/>
        <w:jc w:val="both"/>
        <w:rPr>
          <w:color w:val="auto"/>
        </w:rPr>
      </w:pPr>
      <w:bookmarkStart w:id="107" w:name="bookmark138"/>
      <w:r>
        <w:rPr>
          <w:color w:val="auto"/>
        </w:rPr>
        <w:t>（</w:t>
      </w:r>
      <w:bookmarkEnd w:id="107"/>
      <w:r>
        <w:rPr>
          <w:color w:val="auto"/>
        </w:rPr>
        <w:t>4）第八学期末未完成专业培养方案规定的总学分数，所差学分大于等于14学分的；</w:t>
      </w:r>
    </w:p>
    <w:p>
      <w:pPr>
        <w:pStyle w:val="14"/>
        <w:spacing w:line="300" w:lineRule="exact"/>
        <w:ind w:firstLine="420"/>
        <w:jc w:val="both"/>
        <w:rPr>
          <w:color w:val="auto"/>
        </w:rPr>
      </w:pPr>
      <w:bookmarkStart w:id="108" w:name="bookmark139"/>
      <w:r>
        <w:rPr>
          <w:color w:val="auto"/>
        </w:rPr>
        <w:t>（</w:t>
      </w:r>
      <w:bookmarkEnd w:id="108"/>
      <w:r>
        <w:rPr>
          <w:color w:val="auto"/>
        </w:rPr>
        <w:t>5）进行毕业设计（论文）前，凡专业培养计划规定的教学内容（不包括毕业设计）, 所差学分大于等于14学分的学生。</w:t>
      </w:r>
    </w:p>
    <w:p>
      <w:pPr>
        <w:pStyle w:val="14"/>
        <w:spacing w:line="300" w:lineRule="exact"/>
        <w:ind w:firstLine="420"/>
        <w:jc w:val="both"/>
        <w:rPr>
          <w:color w:val="auto"/>
          <w:lang w:eastAsia="zh-CN"/>
        </w:rPr>
      </w:pPr>
      <w:r>
        <w:rPr>
          <w:color w:val="auto"/>
        </w:rPr>
        <w:t>第二十八条 学期所差学分累计大于等于8学分的专转本学生，给予学业警示</w:t>
      </w:r>
      <w:r>
        <w:rPr>
          <w:rFonts w:hint="eastAsia"/>
          <w:color w:val="auto"/>
          <w:lang w:eastAsia="zh-CN"/>
        </w:rPr>
        <w:t>；</w:t>
      </w:r>
      <w:r>
        <w:rPr>
          <w:color w:val="auto"/>
        </w:rPr>
        <w:t>当符合下列条件之一者，必须延长学习年限，否则作自动退学处理。</w:t>
      </w:r>
    </w:p>
    <w:p>
      <w:pPr>
        <w:pStyle w:val="14"/>
        <w:spacing w:line="300" w:lineRule="exact"/>
        <w:ind w:firstLine="420"/>
        <w:jc w:val="both"/>
        <w:rPr>
          <w:color w:val="auto"/>
        </w:rPr>
      </w:pPr>
      <w:bookmarkStart w:id="109" w:name="bookmark140"/>
      <w:r>
        <w:rPr>
          <w:color w:val="auto"/>
        </w:rPr>
        <w:t>（</w:t>
      </w:r>
      <w:bookmarkEnd w:id="109"/>
      <w:r>
        <w:rPr>
          <w:color w:val="auto"/>
        </w:rPr>
        <w:t>1）在第一学年内取得学分数不足30；</w:t>
      </w:r>
    </w:p>
    <w:p>
      <w:pPr>
        <w:pStyle w:val="14"/>
        <w:spacing w:line="300" w:lineRule="exact"/>
        <w:ind w:firstLine="420"/>
        <w:jc w:val="both"/>
        <w:rPr>
          <w:color w:val="auto"/>
        </w:rPr>
      </w:pPr>
      <w:bookmarkStart w:id="110" w:name="bookmark141"/>
      <w:r>
        <w:rPr>
          <w:color w:val="auto"/>
        </w:rPr>
        <w:t>（</w:t>
      </w:r>
      <w:bookmarkEnd w:id="110"/>
      <w:r>
        <w:rPr>
          <w:color w:val="auto"/>
        </w:rPr>
        <w:t>2）在前二学年内取得学分数不足70；</w:t>
      </w:r>
    </w:p>
    <w:p>
      <w:pPr>
        <w:pStyle w:val="14"/>
        <w:spacing w:line="300" w:lineRule="exact"/>
        <w:ind w:firstLine="420"/>
        <w:jc w:val="both"/>
        <w:rPr>
          <w:color w:val="auto"/>
        </w:rPr>
      </w:pPr>
      <w:bookmarkStart w:id="111" w:name="bookmark142"/>
      <w:r>
        <w:rPr>
          <w:color w:val="auto"/>
        </w:rPr>
        <w:t>（</w:t>
      </w:r>
      <w:bookmarkEnd w:id="111"/>
      <w:r>
        <w:rPr>
          <w:color w:val="auto"/>
        </w:rPr>
        <w:t>3）第四学期末未完成专业培养方案规定的总学分数，所差学分大于等于8学分的；</w:t>
      </w:r>
    </w:p>
    <w:p>
      <w:pPr>
        <w:pStyle w:val="14"/>
        <w:spacing w:line="300" w:lineRule="exact"/>
        <w:ind w:firstLine="420"/>
        <w:jc w:val="both"/>
        <w:rPr>
          <w:color w:val="auto"/>
        </w:rPr>
      </w:pPr>
      <w:bookmarkStart w:id="112" w:name="bookmark143"/>
      <w:r>
        <w:rPr>
          <w:color w:val="auto"/>
        </w:rPr>
        <w:t>（</w:t>
      </w:r>
      <w:bookmarkEnd w:id="112"/>
      <w:r>
        <w:rPr>
          <w:color w:val="auto"/>
        </w:rPr>
        <w:t>4）进行毕业设计（论文）前，凡教学计划规定的教学内容（不包括毕业设计），所差学分大于等于8学分的学生。</w:t>
      </w:r>
    </w:p>
    <w:p>
      <w:pPr>
        <w:pStyle w:val="14"/>
        <w:spacing w:line="300" w:lineRule="exact"/>
        <w:ind w:firstLine="420"/>
        <w:jc w:val="both"/>
        <w:rPr>
          <w:color w:val="auto"/>
          <w:lang w:eastAsia="zh-CN"/>
        </w:rPr>
      </w:pPr>
      <w:r>
        <w:rPr>
          <w:color w:val="auto"/>
        </w:rPr>
        <w:t>以上学年学分的计算不包括休学时间</w:t>
      </w:r>
      <w:r>
        <w:rPr>
          <w:rFonts w:hint="eastAsia"/>
          <w:color w:val="auto"/>
          <w:lang w:eastAsia="zh-CN"/>
        </w:rPr>
        <w:t>。</w:t>
      </w:r>
    </w:p>
    <w:p>
      <w:pPr>
        <w:pStyle w:val="14"/>
        <w:spacing w:line="300" w:lineRule="exact"/>
        <w:ind w:firstLine="420"/>
        <w:jc w:val="both"/>
        <w:rPr>
          <w:color w:val="auto"/>
        </w:rPr>
      </w:pPr>
      <w:r>
        <w:rPr>
          <w:color w:val="auto"/>
        </w:rPr>
        <w:t>第二十九条</w:t>
      </w:r>
      <w:r>
        <w:rPr>
          <w:rFonts w:hint="eastAsia"/>
          <w:color w:val="auto"/>
          <w:lang w:eastAsia="zh-CN"/>
        </w:rPr>
        <w:t xml:space="preserve"> </w:t>
      </w:r>
      <w:r>
        <w:rPr>
          <w:color w:val="auto"/>
        </w:rPr>
        <w:t>延长学习年限按以下规定办理：</w:t>
      </w:r>
    </w:p>
    <w:p>
      <w:pPr>
        <w:pStyle w:val="14"/>
        <w:spacing w:line="300" w:lineRule="exact"/>
        <w:ind w:firstLine="420"/>
        <w:jc w:val="both"/>
        <w:rPr>
          <w:color w:val="auto"/>
        </w:rPr>
      </w:pPr>
      <w:bookmarkStart w:id="113" w:name="bookmark144"/>
      <w:r>
        <w:rPr>
          <w:color w:val="auto"/>
        </w:rPr>
        <w:t>（</w:t>
      </w:r>
      <w:bookmarkEnd w:id="113"/>
      <w:r>
        <w:rPr>
          <w:color w:val="auto"/>
        </w:rPr>
        <w:t>一）学生应在每学年第一学期开学后三周内提出申请，毕业年级的学生应在下一学期 开学后一周内提出申请，填</w:t>
      </w:r>
      <w:r>
        <w:rPr>
          <w:rFonts w:hint="eastAsia"/>
          <w:color w:val="auto"/>
          <w:lang w:val="en-US" w:eastAsia="zh-CN"/>
        </w:rPr>
        <w:t>写《</w:t>
      </w:r>
      <w:r>
        <w:rPr>
          <w:color w:val="auto"/>
          <w:lang w:val="zh-CN" w:eastAsia="zh-CN"/>
        </w:rPr>
        <w:t>延</w:t>
      </w:r>
      <w:r>
        <w:rPr>
          <w:color w:val="auto"/>
        </w:rPr>
        <w:t>长学习年限申请表</w:t>
      </w:r>
      <w:r>
        <w:rPr>
          <w:rFonts w:hint="eastAsia"/>
          <w:color w:val="auto"/>
          <w:lang w:val="en-US" w:eastAsia="zh-CN"/>
        </w:rPr>
        <w:t>》</w:t>
      </w:r>
      <w:r>
        <w:rPr>
          <w:color w:val="auto"/>
        </w:rPr>
        <w:t>。</w:t>
      </w:r>
    </w:p>
    <w:p>
      <w:pPr>
        <w:pStyle w:val="14"/>
        <w:spacing w:line="300" w:lineRule="exact"/>
        <w:ind w:firstLine="420"/>
        <w:jc w:val="both"/>
        <w:rPr>
          <w:color w:val="auto"/>
        </w:rPr>
      </w:pPr>
      <w:bookmarkStart w:id="114" w:name="bookmark145"/>
      <w:r>
        <w:rPr>
          <w:color w:val="auto"/>
        </w:rPr>
        <w:t>（</w:t>
      </w:r>
      <w:bookmarkEnd w:id="114"/>
      <w:r>
        <w:rPr>
          <w:color w:val="auto"/>
        </w:rPr>
        <w:t>二）经学院同意，教学科研处核准后，获准延长学习年限的学生编入下一年级学习， 并在导师指导下制定个人学习计划。个人学习计划应包括所有应重修的必修课程。</w:t>
      </w:r>
    </w:p>
    <w:p>
      <w:pPr>
        <w:pStyle w:val="14"/>
        <w:spacing w:line="300" w:lineRule="exact"/>
        <w:ind w:firstLine="420"/>
        <w:jc w:val="both"/>
        <w:rPr>
          <w:color w:val="auto"/>
          <w:lang w:eastAsia="zh-CN"/>
        </w:rPr>
      </w:pPr>
      <w:r>
        <w:rPr>
          <w:color w:val="auto"/>
        </w:rPr>
        <w:t>第三十条</w:t>
      </w:r>
      <w:r>
        <w:rPr>
          <w:rFonts w:hint="eastAsia"/>
          <w:color w:val="auto"/>
          <w:lang w:eastAsia="zh-CN"/>
        </w:rPr>
        <w:t xml:space="preserve"> </w:t>
      </w:r>
      <w:r>
        <w:rPr>
          <w:rFonts w:hint="eastAsia"/>
          <w:color w:val="auto"/>
          <w:lang w:val="en-US" w:eastAsia="zh-CN"/>
        </w:rPr>
        <w:t>第二次</w:t>
      </w:r>
      <w:r>
        <w:rPr>
          <w:color w:val="auto"/>
        </w:rPr>
        <w:t>延长学习年限时间结束时</w:t>
      </w:r>
      <w:r>
        <w:rPr>
          <w:rFonts w:hint="eastAsia"/>
          <w:color w:val="auto"/>
          <w:lang w:eastAsia="zh-CN"/>
        </w:rPr>
        <w:t>（</w:t>
      </w:r>
      <w:r>
        <w:rPr>
          <w:rFonts w:hint="eastAsia"/>
          <w:color w:val="auto"/>
          <w:lang w:val="en-US" w:eastAsia="zh-CN"/>
        </w:rPr>
        <w:t>专转本第一次</w:t>
      </w:r>
      <w:r>
        <w:rPr>
          <w:color w:val="auto"/>
        </w:rPr>
        <w:t>延长学习年限时间结束时</w:t>
      </w:r>
      <w:r>
        <w:rPr>
          <w:rFonts w:hint="eastAsia"/>
          <w:color w:val="auto"/>
          <w:lang w:eastAsia="zh-CN"/>
        </w:rPr>
        <w:t>）</w:t>
      </w:r>
      <w:r>
        <w:rPr>
          <w:color w:val="auto"/>
        </w:rPr>
        <w:t>按个人学习计划进行考核，取得学分数须达到个人</w:t>
      </w:r>
      <w:r>
        <w:rPr>
          <w:rFonts w:hint="eastAsia"/>
          <w:color w:val="auto"/>
          <w:lang w:val="en-US" w:eastAsia="zh-CN"/>
        </w:rPr>
        <w:t>当学期</w:t>
      </w:r>
      <w:r>
        <w:rPr>
          <w:color w:val="auto"/>
        </w:rPr>
        <w:t>学习计划学分的70%</w:t>
      </w:r>
      <w:r>
        <w:rPr>
          <w:rFonts w:hint="eastAsia"/>
          <w:color w:val="auto"/>
          <w:lang w:eastAsia="zh-CN"/>
        </w:rPr>
        <w:t>，</w:t>
      </w:r>
      <w:r>
        <w:rPr>
          <w:color w:val="auto"/>
        </w:rPr>
        <w:t>否则予以退学。</w:t>
      </w:r>
    </w:p>
    <w:p>
      <w:pPr>
        <w:pStyle w:val="14"/>
        <w:spacing w:line="300" w:lineRule="exact"/>
        <w:ind w:firstLine="420"/>
        <w:jc w:val="both"/>
        <w:rPr>
          <w:color w:val="auto"/>
          <w:lang w:eastAsia="zh-CN"/>
        </w:rPr>
      </w:pPr>
      <w:r>
        <w:rPr>
          <w:color w:val="auto"/>
        </w:rPr>
        <w:t>第三十一条 学生经过努力，补齐所差学分，可重新编回原年级学习。学生应在每学年第一学期开学后提出，填</w:t>
      </w:r>
      <w:r>
        <w:rPr>
          <w:rFonts w:hint="eastAsia"/>
          <w:color w:val="auto"/>
          <w:lang w:val="en-US" w:eastAsia="zh-CN"/>
        </w:rPr>
        <w:t>写《</w:t>
      </w:r>
      <w:r>
        <w:rPr>
          <w:color w:val="auto"/>
          <w:lang w:val="zh-CN" w:eastAsia="zh-CN"/>
        </w:rPr>
        <w:t>回</w:t>
      </w:r>
      <w:r>
        <w:rPr>
          <w:color w:val="auto"/>
        </w:rPr>
        <w:t>原级申请表</w:t>
      </w:r>
      <w:r>
        <w:rPr>
          <w:rFonts w:hint="eastAsia"/>
          <w:color w:val="auto"/>
          <w:lang w:val="en-US" w:eastAsia="zh-CN"/>
        </w:rPr>
        <w:t>》</w:t>
      </w:r>
      <w:r>
        <w:rPr>
          <w:color w:val="auto"/>
        </w:rPr>
        <w:t>。</w:t>
      </w:r>
    </w:p>
    <w:p>
      <w:pPr>
        <w:pStyle w:val="14"/>
        <w:spacing w:line="300" w:lineRule="exact"/>
        <w:ind w:firstLine="420"/>
        <w:jc w:val="both"/>
        <w:rPr>
          <w:color w:val="auto"/>
        </w:rPr>
      </w:pPr>
      <w:bookmarkStart w:id="115" w:name="bookmark148"/>
      <w:bookmarkStart w:id="116" w:name="bookmark146"/>
      <w:bookmarkStart w:id="117" w:name="bookmark147"/>
      <w:bookmarkStart w:id="118" w:name="bookmark180"/>
      <w:bookmarkStart w:id="119" w:name="bookmark179"/>
      <w:bookmarkStart w:id="120" w:name="bookmark178"/>
      <w:r>
        <w:rPr>
          <w:color w:val="auto"/>
        </w:rPr>
        <w:t>第七章</w:t>
      </w:r>
      <w:r>
        <w:rPr>
          <w:rFonts w:hint="eastAsia"/>
          <w:color w:val="auto"/>
          <w:lang w:eastAsia="zh-CN"/>
        </w:rPr>
        <w:t xml:space="preserve"> </w:t>
      </w:r>
      <w:r>
        <w:rPr>
          <w:color w:val="auto"/>
        </w:rPr>
        <w:t>退学</w:t>
      </w:r>
      <w:bookmarkEnd w:id="115"/>
      <w:bookmarkEnd w:id="116"/>
      <w:bookmarkEnd w:id="117"/>
    </w:p>
    <w:p>
      <w:pPr>
        <w:pStyle w:val="14"/>
        <w:spacing w:line="300" w:lineRule="exact"/>
        <w:ind w:firstLine="420"/>
        <w:jc w:val="both"/>
        <w:rPr>
          <w:color w:val="auto"/>
        </w:rPr>
      </w:pPr>
      <w:r>
        <w:rPr>
          <w:color w:val="auto"/>
        </w:rPr>
        <w:t>第三十二条</w:t>
      </w:r>
      <w:r>
        <w:rPr>
          <w:rFonts w:hint="eastAsia"/>
          <w:color w:val="auto"/>
          <w:lang w:eastAsia="zh-CN"/>
        </w:rPr>
        <w:t xml:space="preserve"> </w:t>
      </w:r>
      <w:r>
        <w:rPr>
          <w:color w:val="auto"/>
        </w:rPr>
        <w:t>符合下列条件之一者，予以退学：</w:t>
      </w:r>
    </w:p>
    <w:p>
      <w:pPr>
        <w:pStyle w:val="14"/>
        <w:spacing w:line="300" w:lineRule="exact"/>
        <w:ind w:firstLine="420"/>
        <w:jc w:val="both"/>
        <w:rPr>
          <w:color w:val="auto"/>
          <w:lang w:eastAsia="zh-CN"/>
        </w:rPr>
      </w:pPr>
      <w:r>
        <w:rPr>
          <w:color w:val="auto"/>
        </w:rPr>
        <w:t>超过学校规定期限两周未注册而又无正当事由的</w:t>
      </w:r>
      <w:r>
        <w:rPr>
          <w:rFonts w:hint="eastAsia"/>
          <w:color w:val="auto"/>
          <w:lang w:eastAsia="zh-CN"/>
        </w:rPr>
        <w:t>。</w:t>
      </w:r>
    </w:p>
    <w:p>
      <w:pPr>
        <w:pStyle w:val="14"/>
        <w:spacing w:line="300" w:lineRule="exact"/>
        <w:ind w:firstLine="420"/>
        <w:jc w:val="both"/>
        <w:rPr>
          <w:color w:val="auto"/>
          <w:lang w:eastAsia="zh-CN"/>
        </w:rPr>
      </w:pPr>
      <w:r>
        <w:rPr>
          <w:color w:val="auto"/>
        </w:rPr>
        <w:t>未请假或请假未批准离校，连续两周或一学期累计一个月未参加学校规定的教学活动的</w:t>
      </w:r>
      <w:r>
        <w:rPr>
          <w:rFonts w:hint="eastAsia"/>
          <w:color w:val="auto"/>
          <w:lang w:eastAsia="zh-CN"/>
        </w:rPr>
        <w:t>。</w:t>
      </w:r>
    </w:p>
    <w:p>
      <w:pPr>
        <w:pStyle w:val="14"/>
        <w:spacing w:line="300" w:lineRule="exact"/>
        <w:ind w:firstLine="420"/>
        <w:jc w:val="both"/>
        <w:rPr>
          <w:color w:val="auto"/>
          <w:lang w:eastAsia="zh-CN"/>
        </w:rPr>
      </w:pPr>
      <w:r>
        <w:rPr>
          <w:color w:val="auto"/>
        </w:rPr>
        <w:t>保留入学资格、休学期满，超过两周未提出复学申请，或者申请复学经复查不合格的</w:t>
      </w:r>
      <w:r>
        <w:rPr>
          <w:rFonts w:hint="eastAsia"/>
          <w:color w:val="auto"/>
          <w:lang w:eastAsia="zh-CN"/>
        </w:rPr>
        <w:t>。</w:t>
      </w:r>
    </w:p>
    <w:p>
      <w:pPr>
        <w:pStyle w:val="14"/>
        <w:spacing w:line="300" w:lineRule="exact"/>
        <w:ind w:firstLine="420"/>
        <w:jc w:val="both"/>
        <w:rPr>
          <w:color w:val="auto"/>
          <w:lang w:eastAsia="zh-CN"/>
        </w:rPr>
      </w:pPr>
      <w:r>
        <w:rPr>
          <w:color w:val="auto"/>
        </w:rPr>
        <w:t>在学校规定的六年学习年限内（含休学、延长学习年限）未完成学业的。</w:t>
      </w:r>
    </w:p>
    <w:p>
      <w:pPr>
        <w:pStyle w:val="14"/>
        <w:spacing w:line="300" w:lineRule="exact"/>
        <w:ind w:firstLine="420"/>
        <w:jc w:val="both"/>
        <w:rPr>
          <w:color w:val="auto"/>
          <w:lang w:eastAsia="zh-CN"/>
        </w:rPr>
      </w:pPr>
      <w:bookmarkStart w:id="121" w:name="bookmark152"/>
      <w:r>
        <w:rPr>
          <w:color w:val="auto"/>
        </w:rPr>
        <w:t>（</w:t>
      </w:r>
      <w:bookmarkEnd w:id="121"/>
      <w:r>
        <w:rPr>
          <w:color w:val="auto"/>
        </w:rPr>
        <w:t>五</w:t>
      </w:r>
      <w:r>
        <w:rPr>
          <w:rFonts w:hint="eastAsia"/>
          <w:color w:val="auto"/>
        </w:rPr>
        <w:t>）</w:t>
      </w:r>
      <w:r>
        <w:rPr>
          <w:color w:val="auto"/>
        </w:rPr>
        <w:t>校指定医院诊断，患有疾病或者意外伤残无法继续在校学习的</w:t>
      </w:r>
      <w:r>
        <w:rPr>
          <w:rFonts w:hint="eastAsia"/>
          <w:color w:val="auto"/>
          <w:lang w:eastAsia="zh-CN"/>
        </w:rPr>
        <w:t>。</w:t>
      </w:r>
    </w:p>
    <w:p>
      <w:pPr>
        <w:pStyle w:val="14"/>
        <w:spacing w:line="300" w:lineRule="exact"/>
        <w:ind w:firstLine="420"/>
        <w:jc w:val="both"/>
        <w:rPr>
          <w:color w:val="auto"/>
          <w:lang w:eastAsia="zh-CN"/>
        </w:rPr>
      </w:pPr>
      <w:bookmarkStart w:id="122" w:name="bookmark154"/>
      <w:r>
        <w:rPr>
          <w:color w:val="auto"/>
        </w:rPr>
        <w:t>（</w:t>
      </w:r>
      <w:bookmarkEnd w:id="122"/>
      <w:r>
        <w:rPr>
          <w:rFonts w:hint="eastAsia"/>
          <w:color w:val="auto"/>
          <w:lang w:val="en-US" w:eastAsia="zh-CN"/>
        </w:rPr>
        <w:t>六）</w:t>
      </w:r>
      <w:r>
        <w:rPr>
          <w:color w:val="auto"/>
        </w:rPr>
        <w:t>须第三次延长学习年限（专转本学生须第二次延长学习年限）的</w:t>
      </w:r>
      <w:r>
        <w:rPr>
          <w:rFonts w:hint="eastAsia"/>
          <w:color w:val="auto"/>
          <w:lang w:eastAsia="zh-CN"/>
        </w:rPr>
        <w:t>。</w:t>
      </w:r>
    </w:p>
    <w:p>
      <w:pPr>
        <w:pStyle w:val="14"/>
        <w:spacing w:line="300" w:lineRule="exact"/>
        <w:ind w:firstLine="420"/>
        <w:jc w:val="both"/>
        <w:rPr>
          <w:color w:val="auto"/>
          <w:lang w:eastAsia="zh-CN"/>
        </w:rPr>
      </w:pPr>
      <w:bookmarkStart w:id="123" w:name="bookmark155"/>
      <w:r>
        <w:rPr>
          <w:color w:val="auto"/>
        </w:rPr>
        <w:t>（</w:t>
      </w:r>
      <w:bookmarkEnd w:id="123"/>
      <w:r>
        <w:rPr>
          <w:rFonts w:hint="eastAsia"/>
          <w:color w:val="auto"/>
          <w:lang w:val="en-US" w:eastAsia="zh-CN"/>
        </w:rPr>
        <w:t>七）第二次</w:t>
      </w:r>
      <w:r>
        <w:rPr>
          <w:color w:val="auto"/>
        </w:rPr>
        <w:t>延长学习年限时间结束时</w:t>
      </w:r>
      <w:r>
        <w:rPr>
          <w:rFonts w:hint="eastAsia"/>
          <w:color w:val="auto"/>
          <w:lang w:eastAsia="zh-CN"/>
        </w:rPr>
        <w:t>（</w:t>
      </w:r>
      <w:r>
        <w:rPr>
          <w:rFonts w:hint="eastAsia"/>
          <w:color w:val="auto"/>
          <w:lang w:val="en-US" w:eastAsia="zh-CN"/>
        </w:rPr>
        <w:t>专转本第一次</w:t>
      </w:r>
      <w:r>
        <w:rPr>
          <w:color w:val="auto"/>
        </w:rPr>
        <w:t>延长学习年限时间结束时</w:t>
      </w:r>
      <w:r>
        <w:rPr>
          <w:rFonts w:hint="eastAsia"/>
          <w:color w:val="auto"/>
          <w:lang w:eastAsia="zh-CN"/>
        </w:rPr>
        <w:t>）</w:t>
      </w:r>
      <w:r>
        <w:rPr>
          <w:color w:val="auto"/>
        </w:rPr>
        <w:t>取得学分数未达到个人</w:t>
      </w:r>
      <w:r>
        <w:rPr>
          <w:rFonts w:hint="eastAsia"/>
          <w:color w:val="auto"/>
          <w:lang w:val="en-US" w:eastAsia="zh-CN"/>
        </w:rPr>
        <w:t>当学期</w:t>
      </w:r>
      <w:r>
        <w:rPr>
          <w:color w:val="auto"/>
        </w:rPr>
        <w:t>学习计划学分70%的</w:t>
      </w:r>
      <w:r>
        <w:rPr>
          <w:rFonts w:hint="eastAsia"/>
          <w:color w:val="auto"/>
          <w:lang w:eastAsia="zh-CN"/>
        </w:rPr>
        <w:t>。</w:t>
      </w:r>
    </w:p>
    <w:p>
      <w:pPr>
        <w:pStyle w:val="14"/>
        <w:spacing w:line="300" w:lineRule="exact"/>
        <w:ind w:firstLine="420"/>
        <w:jc w:val="both"/>
        <w:rPr>
          <w:color w:val="auto"/>
          <w:lang w:eastAsia="zh-CN"/>
        </w:rPr>
      </w:pPr>
      <w:bookmarkStart w:id="124" w:name="bookmark156"/>
      <w:r>
        <w:rPr>
          <w:color w:val="auto"/>
        </w:rPr>
        <w:t>（</w:t>
      </w:r>
      <w:bookmarkEnd w:id="124"/>
      <w:r>
        <w:rPr>
          <w:rFonts w:hint="eastAsia"/>
          <w:color w:val="auto"/>
          <w:lang w:val="en-US" w:eastAsia="zh-CN"/>
        </w:rPr>
        <w:t>八）</w:t>
      </w:r>
      <w:r>
        <w:rPr>
          <w:color w:val="auto"/>
        </w:rPr>
        <w:t>符合延长学习年限条件但未在规定时间内办理申请手续的</w:t>
      </w:r>
      <w:r>
        <w:rPr>
          <w:rFonts w:hint="eastAsia"/>
          <w:color w:val="auto"/>
          <w:lang w:eastAsia="zh-CN"/>
        </w:rPr>
        <w:t>。</w:t>
      </w:r>
    </w:p>
    <w:p>
      <w:pPr>
        <w:pStyle w:val="14"/>
        <w:spacing w:line="300" w:lineRule="exact"/>
        <w:ind w:firstLine="420"/>
        <w:jc w:val="both"/>
        <w:rPr>
          <w:color w:val="auto"/>
          <w:lang w:eastAsia="zh-CN"/>
        </w:rPr>
      </w:pPr>
      <w:bookmarkStart w:id="125" w:name="bookmark157"/>
      <w:r>
        <w:rPr>
          <w:color w:val="auto"/>
        </w:rPr>
        <w:t>（</w:t>
      </w:r>
      <w:bookmarkEnd w:id="125"/>
      <w:r>
        <w:rPr>
          <w:rFonts w:hint="eastAsia"/>
          <w:color w:val="auto"/>
          <w:lang w:val="en-US" w:eastAsia="zh-CN"/>
        </w:rPr>
        <w:t>九）</w:t>
      </w:r>
      <w:r>
        <w:rPr>
          <w:color w:val="auto"/>
        </w:rPr>
        <w:t>本人申请退学的</w:t>
      </w:r>
      <w:r>
        <w:rPr>
          <w:rFonts w:hint="eastAsia"/>
          <w:color w:val="auto"/>
          <w:lang w:eastAsia="zh-CN"/>
        </w:rPr>
        <w:t>。</w:t>
      </w:r>
    </w:p>
    <w:p>
      <w:pPr>
        <w:pStyle w:val="14"/>
        <w:spacing w:line="300" w:lineRule="exact"/>
        <w:ind w:firstLine="420"/>
        <w:jc w:val="both"/>
        <w:rPr>
          <w:color w:val="auto"/>
        </w:rPr>
      </w:pPr>
      <w:r>
        <w:rPr>
          <w:color w:val="auto"/>
        </w:rPr>
        <w:t>依据上述条件作退学处理的，不属纪律处分。退学学生均不得申请复学。</w:t>
      </w:r>
    </w:p>
    <w:p>
      <w:pPr>
        <w:pStyle w:val="14"/>
        <w:spacing w:line="300" w:lineRule="exact"/>
        <w:ind w:firstLine="420"/>
        <w:jc w:val="both"/>
        <w:rPr>
          <w:color w:val="auto"/>
        </w:rPr>
      </w:pPr>
      <w:r>
        <w:rPr>
          <w:color w:val="auto"/>
        </w:rPr>
        <w:t>第三十三条</w:t>
      </w:r>
      <w:r>
        <w:rPr>
          <w:rFonts w:hint="eastAsia"/>
          <w:color w:val="auto"/>
          <w:lang w:eastAsia="zh-CN"/>
        </w:rPr>
        <w:t xml:space="preserve"> </w:t>
      </w:r>
      <w:r>
        <w:rPr>
          <w:color w:val="auto"/>
        </w:rPr>
        <w:t>退学试读</w:t>
      </w:r>
      <w:r>
        <w:rPr>
          <w:rFonts w:hint="eastAsia"/>
          <w:color w:val="auto"/>
          <w:lang w:eastAsia="zh-CN"/>
        </w:rPr>
        <w:t xml:space="preserve"> </w:t>
      </w:r>
      <w:r>
        <w:rPr>
          <w:color w:val="auto"/>
        </w:rPr>
        <w:t xml:space="preserve"> </w:t>
      </w:r>
    </w:p>
    <w:p>
      <w:pPr>
        <w:pStyle w:val="14"/>
        <w:spacing w:line="300" w:lineRule="exact"/>
        <w:ind w:firstLine="420"/>
        <w:jc w:val="both"/>
        <w:rPr>
          <w:color w:val="auto"/>
        </w:rPr>
      </w:pPr>
      <w:r>
        <w:rPr>
          <w:color w:val="auto"/>
        </w:rPr>
        <w:t>符合</w:t>
      </w:r>
      <w:r>
        <w:rPr>
          <w:rFonts w:hint="eastAsia"/>
          <w:color w:val="auto"/>
          <w:lang w:val="en-US" w:eastAsia="zh-CN"/>
        </w:rPr>
        <w:t>第三十二条第八款应予退学的学生</w:t>
      </w:r>
      <w:r>
        <w:rPr>
          <w:color w:val="auto"/>
        </w:rPr>
        <w:t>，经学生个人申请、家长到校确认、学院审核、学校批准，给予一次试读机会。</w:t>
      </w:r>
    </w:p>
    <w:p>
      <w:pPr>
        <w:pStyle w:val="14"/>
        <w:spacing w:line="300" w:lineRule="exact"/>
        <w:ind w:firstLine="420"/>
        <w:jc w:val="both"/>
        <w:rPr>
          <w:color w:val="auto"/>
        </w:rPr>
      </w:pPr>
      <w:bookmarkStart w:id="126" w:name="bookmark159"/>
      <w:r>
        <w:rPr>
          <w:color w:val="auto"/>
        </w:rPr>
        <w:t>（</w:t>
      </w:r>
      <w:bookmarkEnd w:id="126"/>
      <w:r>
        <w:rPr>
          <w:rFonts w:hint="eastAsia"/>
          <w:color w:val="auto"/>
          <w:lang w:val="en-US" w:eastAsia="zh-CN"/>
        </w:rPr>
        <w:t>一</w:t>
      </w:r>
      <w:r>
        <w:rPr>
          <w:color w:val="auto"/>
        </w:rPr>
        <w:t>）学生在校期间只能申请一次退学试读，试读期</w:t>
      </w:r>
      <w:r>
        <w:rPr>
          <w:rFonts w:hint="eastAsia"/>
          <w:color w:val="auto"/>
          <w:lang w:val="en-US" w:eastAsia="zh-CN"/>
        </w:rPr>
        <w:t>最长</w:t>
      </w:r>
      <w:r>
        <w:rPr>
          <w:color w:val="auto"/>
        </w:rPr>
        <w:t>为一年</w:t>
      </w:r>
      <w:r>
        <w:rPr>
          <w:rFonts w:hint="eastAsia"/>
          <w:color w:val="auto"/>
          <w:lang w:eastAsia="zh-CN"/>
        </w:rPr>
        <w:t>，</w:t>
      </w:r>
      <w:r>
        <w:rPr>
          <w:rFonts w:hint="eastAsia"/>
          <w:color w:val="auto"/>
          <w:lang w:val="en-US" w:eastAsia="zh-CN"/>
        </w:rPr>
        <w:t>累计在籍不超过六年</w:t>
      </w:r>
      <w:r>
        <w:rPr>
          <w:color w:val="auto"/>
        </w:rPr>
        <w:t>。</w:t>
      </w:r>
    </w:p>
    <w:p>
      <w:pPr>
        <w:pStyle w:val="14"/>
        <w:spacing w:line="300" w:lineRule="exact"/>
        <w:ind w:firstLine="420"/>
        <w:jc w:val="both"/>
        <w:rPr>
          <w:color w:val="auto"/>
        </w:rPr>
      </w:pPr>
      <w:bookmarkStart w:id="127" w:name="bookmark160"/>
      <w:r>
        <w:rPr>
          <w:color w:val="auto"/>
        </w:rPr>
        <w:t>（</w:t>
      </w:r>
      <w:bookmarkEnd w:id="127"/>
      <w:r>
        <w:rPr>
          <w:rFonts w:hint="eastAsia"/>
          <w:color w:val="auto"/>
          <w:lang w:val="en-US" w:eastAsia="zh-CN"/>
        </w:rPr>
        <w:t>二</w:t>
      </w:r>
      <w:r>
        <w:rPr>
          <w:color w:val="auto"/>
        </w:rPr>
        <w:t>）由学院专业指导退学试读的学生按学年制定个人学习计划，报教学科研处备案。 学生须按计划修读课程。</w:t>
      </w:r>
    </w:p>
    <w:p>
      <w:pPr>
        <w:pStyle w:val="14"/>
        <w:spacing w:line="300" w:lineRule="exact"/>
        <w:ind w:firstLine="420"/>
        <w:jc w:val="both"/>
        <w:rPr>
          <w:color w:val="auto"/>
        </w:rPr>
      </w:pPr>
      <w:bookmarkStart w:id="128" w:name="bookmark161"/>
      <w:r>
        <w:rPr>
          <w:color w:val="auto"/>
        </w:rPr>
        <w:t>（</w:t>
      </w:r>
      <w:bookmarkEnd w:id="128"/>
      <w:r>
        <w:rPr>
          <w:rFonts w:hint="eastAsia"/>
          <w:color w:val="auto"/>
          <w:lang w:val="en-US" w:eastAsia="zh-CN"/>
        </w:rPr>
        <w:t>三</w:t>
      </w:r>
      <w:r>
        <w:rPr>
          <w:color w:val="auto"/>
        </w:rPr>
        <w:t>）退学试读期间按学期进行考核，学生应严格遵守学校各项规章制度，且每学期所取得学分数须达到个人学习计划学分数的70%,否则予以退学。表现优秀的学生，可申请 解除退学试读。</w:t>
      </w:r>
    </w:p>
    <w:p>
      <w:pPr>
        <w:pStyle w:val="14"/>
        <w:spacing w:line="300" w:lineRule="exact"/>
        <w:ind w:firstLine="420"/>
        <w:jc w:val="both"/>
        <w:rPr>
          <w:color w:val="auto"/>
        </w:rPr>
      </w:pPr>
      <w:r>
        <w:rPr>
          <w:color w:val="auto"/>
        </w:rPr>
        <w:t>第三十四条</w:t>
      </w:r>
      <w:r>
        <w:rPr>
          <w:rFonts w:hint="eastAsia"/>
          <w:color w:val="auto"/>
          <w:lang w:eastAsia="zh-CN"/>
        </w:rPr>
        <w:t xml:space="preserve"> </w:t>
      </w:r>
      <w:r>
        <w:rPr>
          <w:color w:val="auto"/>
        </w:rPr>
        <w:t>退学决定及送达</w:t>
      </w:r>
    </w:p>
    <w:p>
      <w:pPr>
        <w:pStyle w:val="14"/>
        <w:spacing w:line="300" w:lineRule="exact"/>
        <w:ind w:firstLine="420"/>
        <w:jc w:val="both"/>
        <w:rPr>
          <w:color w:val="auto"/>
        </w:rPr>
      </w:pPr>
      <w:r>
        <w:rPr>
          <w:rFonts w:hint="eastAsia"/>
          <w:color w:val="auto"/>
          <w:lang w:eastAsia="zh-CN"/>
        </w:rPr>
        <w:t>（</w:t>
      </w:r>
      <w:r>
        <w:rPr>
          <w:rFonts w:hint="eastAsia"/>
          <w:color w:val="auto"/>
          <w:lang w:val="en-US" w:eastAsia="zh-CN"/>
        </w:rPr>
        <w:t>一</w:t>
      </w:r>
      <w:r>
        <w:rPr>
          <w:rFonts w:hint="eastAsia"/>
          <w:color w:val="auto"/>
          <w:lang w:eastAsia="zh-CN"/>
        </w:rPr>
        <w:t>）</w:t>
      </w:r>
      <w:r>
        <w:rPr>
          <w:color w:val="auto"/>
        </w:rPr>
        <w:t>对于符合退学条件的学生，由学院提交退学报告，报教学科研处审核，校长</w:t>
      </w:r>
      <w:r>
        <w:rPr>
          <w:rFonts w:hint="eastAsia"/>
          <w:color w:val="auto"/>
          <w:lang w:val="en-US" w:eastAsia="zh-CN"/>
        </w:rPr>
        <w:t>办公会</w:t>
      </w:r>
      <w:r>
        <w:rPr>
          <w:color w:val="auto"/>
        </w:rPr>
        <w:t>研究决定，并由学校下达退学决定文件（即退学决定书），报江苏省教育厅备案。</w:t>
      </w:r>
    </w:p>
    <w:p>
      <w:pPr>
        <w:pStyle w:val="14"/>
        <w:spacing w:line="300" w:lineRule="exact"/>
        <w:ind w:firstLine="420"/>
        <w:jc w:val="both"/>
        <w:rPr>
          <w:color w:val="auto"/>
        </w:rPr>
      </w:pPr>
      <w:bookmarkStart w:id="129" w:name="bookmark163"/>
      <w:r>
        <w:rPr>
          <w:color w:val="auto"/>
        </w:rPr>
        <w:t>（</w:t>
      </w:r>
      <w:bookmarkEnd w:id="129"/>
      <w:r>
        <w:rPr>
          <w:color w:val="auto"/>
        </w:rPr>
        <w:t>二）学院在学校发布退学决定文件之日起10个工作日内送达学生本人，并要求学生填写送达回证，学生在送达回证上签收日期即为送达日期。</w:t>
      </w:r>
    </w:p>
    <w:p>
      <w:pPr>
        <w:pStyle w:val="14"/>
        <w:spacing w:line="300" w:lineRule="exact"/>
        <w:ind w:firstLine="420"/>
        <w:jc w:val="both"/>
        <w:rPr>
          <w:color w:val="auto"/>
        </w:rPr>
      </w:pPr>
      <w:bookmarkStart w:id="130" w:name="bookmark164"/>
      <w:r>
        <w:rPr>
          <w:color w:val="auto"/>
        </w:rPr>
        <w:t>（</w:t>
      </w:r>
      <w:bookmarkEnd w:id="130"/>
      <w:r>
        <w:rPr>
          <w:color w:val="auto"/>
        </w:rPr>
        <w:t xml:space="preserve">三）直接送达有困难的，利用学校网站、新闻媒体等发布公告,公告满60日，视为送达。 </w:t>
      </w:r>
    </w:p>
    <w:p>
      <w:pPr>
        <w:pStyle w:val="14"/>
        <w:spacing w:line="300" w:lineRule="exact"/>
        <w:ind w:firstLine="420"/>
        <w:jc w:val="both"/>
        <w:rPr>
          <w:color w:val="auto"/>
        </w:rPr>
      </w:pPr>
      <w:r>
        <w:rPr>
          <w:color w:val="auto"/>
        </w:rPr>
        <w:t>第三十五条</w:t>
      </w:r>
      <w:r>
        <w:rPr>
          <w:rFonts w:hint="eastAsia"/>
          <w:color w:val="auto"/>
          <w:lang w:eastAsia="zh-CN"/>
        </w:rPr>
        <w:t xml:space="preserve"> </w:t>
      </w:r>
      <w:r>
        <w:rPr>
          <w:color w:val="auto"/>
        </w:rPr>
        <w:t>退学手续按下列规定办理</w:t>
      </w:r>
    </w:p>
    <w:p>
      <w:pPr>
        <w:pStyle w:val="14"/>
        <w:spacing w:line="300" w:lineRule="exact"/>
        <w:ind w:firstLine="420"/>
        <w:jc w:val="both"/>
        <w:rPr>
          <w:color w:val="auto"/>
          <w:lang w:eastAsia="zh-CN"/>
        </w:rPr>
      </w:pPr>
      <w:bookmarkStart w:id="131" w:name="bookmark165"/>
      <w:r>
        <w:rPr>
          <w:color w:val="auto"/>
        </w:rPr>
        <w:t>（</w:t>
      </w:r>
      <w:bookmarkEnd w:id="131"/>
      <w:r>
        <w:rPr>
          <w:color w:val="auto"/>
        </w:rPr>
        <w:t>一）学生应在退学决定文件送达后一周内办理离校手续，逾期一周未办理，由学院应代为办理</w:t>
      </w:r>
      <w:r>
        <w:rPr>
          <w:rFonts w:hint="eastAsia"/>
          <w:color w:val="auto"/>
          <w:lang w:eastAsia="zh-CN"/>
        </w:rPr>
        <w:t>。</w:t>
      </w:r>
    </w:p>
    <w:p>
      <w:pPr>
        <w:pStyle w:val="14"/>
        <w:spacing w:line="300" w:lineRule="exact"/>
        <w:ind w:firstLine="420"/>
        <w:jc w:val="both"/>
        <w:rPr>
          <w:color w:val="auto"/>
        </w:rPr>
      </w:pPr>
      <w:bookmarkStart w:id="132" w:name="bookmark166"/>
      <w:r>
        <w:rPr>
          <w:color w:val="auto"/>
        </w:rPr>
        <w:t>（</w:t>
      </w:r>
      <w:bookmarkEnd w:id="132"/>
      <w:r>
        <w:rPr>
          <w:color w:val="auto"/>
        </w:rPr>
        <w:t>二）领取学习成绩证明，档案、户口退回其家庭户籍所在地；学满一年以上退学的学生发给肄业证书。</w:t>
      </w:r>
    </w:p>
    <w:p>
      <w:pPr>
        <w:pStyle w:val="14"/>
        <w:spacing w:line="300" w:lineRule="exact"/>
        <w:ind w:firstLine="420"/>
        <w:jc w:val="both"/>
        <w:rPr>
          <w:color w:val="auto"/>
        </w:rPr>
      </w:pPr>
      <w:bookmarkStart w:id="133" w:name="bookmark167"/>
      <w:r>
        <w:rPr>
          <w:color w:val="auto"/>
        </w:rPr>
        <w:t>（</w:t>
      </w:r>
      <w:bookmarkEnd w:id="133"/>
      <w:r>
        <w:rPr>
          <w:color w:val="auto"/>
        </w:rPr>
        <w:t>三）退学以学校下发退学决定日期为准。</w:t>
      </w:r>
    </w:p>
    <w:p>
      <w:pPr>
        <w:pStyle w:val="14"/>
        <w:spacing w:line="300" w:lineRule="exact"/>
        <w:ind w:firstLine="420"/>
        <w:jc w:val="both"/>
        <w:rPr>
          <w:color w:val="auto"/>
        </w:rPr>
      </w:pPr>
      <w:r>
        <w:rPr>
          <w:color w:val="auto"/>
        </w:rPr>
        <w:t>第三十六条</w:t>
      </w:r>
      <w:r>
        <w:rPr>
          <w:rFonts w:hint="eastAsia"/>
          <w:color w:val="auto"/>
          <w:lang w:eastAsia="zh-CN"/>
        </w:rPr>
        <w:t xml:space="preserve"> </w:t>
      </w:r>
      <w:r>
        <w:rPr>
          <w:color w:val="auto"/>
        </w:rPr>
        <w:t>学生对退学处理有异议的，可提出申诉，按《南京航空航天大学金城学院学生申诉管理办法》办理。</w:t>
      </w:r>
    </w:p>
    <w:p>
      <w:pPr>
        <w:pStyle w:val="18"/>
        <w:keepNext/>
        <w:keepLines/>
        <w:spacing w:after="320"/>
        <w:rPr>
          <w:color w:val="auto"/>
        </w:rPr>
      </w:pPr>
      <w:bookmarkStart w:id="134" w:name="bookmark169"/>
      <w:bookmarkStart w:id="135" w:name="bookmark168"/>
      <w:bookmarkStart w:id="136" w:name="bookmark170"/>
      <w:r>
        <w:rPr>
          <w:color w:val="auto"/>
        </w:rPr>
        <w:t>第八章</w:t>
      </w:r>
      <w:r>
        <w:rPr>
          <w:rFonts w:hint="eastAsia"/>
          <w:color w:val="auto"/>
          <w:lang w:eastAsia="zh-CN"/>
        </w:rPr>
        <w:t xml:space="preserve"> </w:t>
      </w:r>
      <w:r>
        <w:rPr>
          <w:color w:val="auto"/>
        </w:rPr>
        <w:t>毕业、结业、肄业</w:t>
      </w:r>
      <w:bookmarkEnd w:id="134"/>
      <w:bookmarkEnd w:id="135"/>
      <w:bookmarkEnd w:id="136"/>
    </w:p>
    <w:p>
      <w:pPr>
        <w:pStyle w:val="14"/>
        <w:spacing w:line="300" w:lineRule="exact"/>
        <w:ind w:firstLine="420"/>
        <w:jc w:val="both"/>
        <w:rPr>
          <w:color w:val="auto"/>
        </w:rPr>
      </w:pPr>
      <w:r>
        <w:rPr>
          <w:color w:val="auto"/>
        </w:rPr>
        <w:t>第三十七条</w:t>
      </w:r>
      <w:r>
        <w:rPr>
          <w:rFonts w:hint="eastAsia"/>
          <w:color w:val="auto"/>
          <w:lang w:eastAsia="zh-CN"/>
        </w:rPr>
        <w:t xml:space="preserve"> </w:t>
      </w:r>
      <w:r>
        <w:rPr>
          <w:color w:val="auto"/>
        </w:rPr>
        <w:t>毕业</w:t>
      </w:r>
    </w:p>
    <w:p>
      <w:pPr>
        <w:pStyle w:val="14"/>
        <w:spacing w:line="300" w:lineRule="exact"/>
        <w:ind w:firstLine="420"/>
        <w:jc w:val="both"/>
        <w:rPr>
          <w:color w:val="auto"/>
        </w:rPr>
      </w:pPr>
      <w:r>
        <w:rPr>
          <w:color w:val="auto"/>
        </w:rPr>
        <w:t>（</w:t>
      </w:r>
      <w:r>
        <w:rPr>
          <w:rFonts w:hint="eastAsia"/>
          <w:color w:val="auto"/>
        </w:rPr>
        <w:t>一</w:t>
      </w:r>
      <w:r>
        <w:rPr>
          <w:color w:val="auto"/>
        </w:rPr>
        <w:t>）</w:t>
      </w:r>
      <w:r>
        <w:rPr>
          <w:rFonts w:hint="eastAsia"/>
          <w:color w:val="auto"/>
          <w:lang w:eastAsia="zh-CN"/>
        </w:rPr>
        <w:t xml:space="preserve"> </w:t>
      </w:r>
      <w:r>
        <w:rPr>
          <w:color w:val="auto"/>
        </w:rPr>
        <w:t>学生在规定学习年限内，修满专业培养计划规定的学分数，在德、智、体</w:t>
      </w:r>
      <w:r>
        <w:rPr>
          <w:rFonts w:hint="eastAsia"/>
          <w:color w:val="auto"/>
          <w:lang w:eastAsia="zh-CN"/>
        </w:rPr>
        <w:t>、</w:t>
      </w:r>
      <w:r>
        <w:rPr>
          <w:color w:val="auto"/>
        </w:rPr>
        <w:t>美</w:t>
      </w:r>
      <w:r>
        <w:rPr>
          <w:rFonts w:hint="eastAsia"/>
          <w:color w:val="auto"/>
          <w:lang w:eastAsia="zh-CN"/>
        </w:rPr>
        <w:t>、</w:t>
      </w:r>
      <w:r>
        <w:rPr>
          <w:rFonts w:hint="eastAsia"/>
          <w:color w:val="auto"/>
          <w:lang w:val="en-US" w:eastAsia="zh-CN"/>
        </w:rPr>
        <w:t>劳</w:t>
      </w:r>
      <w:r>
        <w:rPr>
          <w:color w:val="auto"/>
        </w:rPr>
        <w:t>方面均达到毕业要求，准予毕业，并发给毕业证书。符合《南京航空航天大学金城学院学士学位 授予办法》中学士学位授予条件的学生，授予学士学位。</w:t>
      </w:r>
    </w:p>
    <w:p>
      <w:pPr>
        <w:pStyle w:val="14"/>
        <w:spacing w:line="300" w:lineRule="exact"/>
        <w:ind w:firstLine="420"/>
        <w:jc w:val="both"/>
        <w:rPr>
          <w:color w:val="auto"/>
        </w:rPr>
      </w:pPr>
      <w:r>
        <w:rPr>
          <w:color w:val="auto"/>
        </w:rPr>
        <w:t>（二）</w:t>
      </w:r>
      <w:r>
        <w:rPr>
          <w:rFonts w:hint="eastAsia"/>
          <w:color w:val="auto"/>
          <w:lang w:eastAsia="zh-CN"/>
        </w:rPr>
        <w:t xml:space="preserve"> </w:t>
      </w:r>
      <w:r>
        <w:rPr>
          <w:color w:val="auto"/>
        </w:rPr>
        <w:t>在校学习未满四年的学生，可申请提前毕业。学校于每年五月、十一月受理提前毕业申请。已受理提前毕业申请且具备毕业条件的学生，经学院核实，教学科研处审定，报校长批准，准予提前毕业。</w:t>
      </w:r>
    </w:p>
    <w:p>
      <w:pPr>
        <w:pStyle w:val="14"/>
        <w:spacing w:line="300" w:lineRule="exact"/>
        <w:ind w:firstLine="420"/>
        <w:jc w:val="both"/>
        <w:rPr>
          <w:color w:val="auto"/>
        </w:rPr>
      </w:pPr>
      <w:bookmarkStart w:id="137" w:name="bookmark171"/>
      <w:r>
        <w:rPr>
          <w:color w:val="auto"/>
        </w:rPr>
        <w:t>（</w:t>
      </w:r>
      <w:bookmarkEnd w:id="137"/>
      <w:r>
        <w:rPr>
          <w:color w:val="auto"/>
        </w:rPr>
        <w:t>三）</w:t>
      </w:r>
      <w:r>
        <w:rPr>
          <w:rFonts w:hint="eastAsia"/>
          <w:color w:val="auto"/>
          <w:lang w:eastAsia="zh-CN"/>
        </w:rPr>
        <w:t xml:space="preserve"> </w:t>
      </w:r>
      <w:r>
        <w:rPr>
          <w:color w:val="auto"/>
        </w:rPr>
        <w:t>毕业离校手续一般在学期末办理。对当年</w:t>
      </w:r>
      <w:r>
        <w:rPr>
          <w:rFonts w:cs="Times New Roman"/>
          <w:color w:val="auto"/>
        </w:rPr>
        <w:t>6</w:t>
      </w:r>
      <w:r>
        <w:rPr>
          <w:color w:val="auto"/>
        </w:rPr>
        <w:t>月底以后毕业的学生，于次年报送毕业生电子注册信息。</w:t>
      </w:r>
    </w:p>
    <w:p>
      <w:pPr>
        <w:pStyle w:val="14"/>
        <w:spacing w:line="300" w:lineRule="exact"/>
        <w:ind w:firstLine="420"/>
        <w:jc w:val="both"/>
        <w:rPr>
          <w:color w:val="auto"/>
        </w:rPr>
      </w:pPr>
      <w:r>
        <w:rPr>
          <w:color w:val="auto"/>
        </w:rPr>
        <w:t>第三十八条</w:t>
      </w:r>
      <w:r>
        <w:rPr>
          <w:rFonts w:hint="eastAsia"/>
          <w:color w:val="auto"/>
          <w:lang w:eastAsia="zh-CN"/>
        </w:rPr>
        <w:t xml:space="preserve"> </w:t>
      </w:r>
      <w:r>
        <w:rPr>
          <w:color w:val="auto"/>
        </w:rPr>
        <w:t>结业</w:t>
      </w:r>
      <w:r>
        <w:rPr>
          <w:rFonts w:hint="eastAsia"/>
          <w:color w:val="auto"/>
          <w:lang w:eastAsia="zh-CN"/>
        </w:rPr>
        <w:t xml:space="preserve"> </w:t>
      </w:r>
      <w:r>
        <w:rPr>
          <w:color w:val="auto"/>
        </w:rPr>
        <w:t xml:space="preserve"> </w:t>
      </w:r>
    </w:p>
    <w:p>
      <w:pPr>
        <w:pStyle w:val="14"/>
        <w:tabs>
          <w:tab w:val="left" w:pos="1064"/>
        </w:tabs>
        <w:spacing w:line="300" w:lineRule="exact"/>
        <w:ind w:firstLine="420"/>
        <w:jc w:val="both"/>
        <w:rPr>
          <w:color w:val="auto"/>
          <w:lang w:eastAsia="zh-CN"/>
        </w:rPr>
      </w:pPr>
      <w:bookmarkStart w:id="138" w:name="bookmark172"/>
      <w:r>
        <w:rPr>
          <w:color w:val="auto"/>
        </w:rPr>
        <w:t>（</w:t>
      </w:r>
      <w:bookmarkEnd w:id="138"/>
      <w:r>
        <w:rPr>
          <w:color w:val="auto"/>
        </w:rPr>
        <w:t>一）</w:t>
      </w:r>
      <w:r>
        <w:rPr>
          <w:color w:val="auto"/>
        </w:rPr>
        <w:tab/>
      </w:r>
      <w:r>
        <w:rPr>
          <w:color w:val="auto"/>
        </w:rPr>
        <w:t>在规定学习年限内</w:t>
      </w:r>
      <w:r>
        <w:rPr>
          <w:rFonts w:hint="eastAsia"/>
          <w:color w:val="auto"/>
          <w:lang w:eastAsia="zh-CN"/>
        </w:rPr>
        <w:t>（本科</w:t>
      </w:r>
      <w:r>
        <w:rPr>
          <w:color w:val="auto"/>
        </w:rPr>
        <w:t>含休学、延长学习</w:t>
      </w:r>
      <w:r>
        <w:rPr>
          <w:rFonts w:hint="eastAsia"/>
          <w:color w:val="auto"/>
          <w:lang w:val="en-US" w:eastAsia="zh-CN"/>
        </w:rPr>
        <w:t>年限等</w:t>
      </w:r>
      <w:r>
        <w:rPr>
          <w:color w:val="auto"/>
        </w:rPr>
        <w:t>最长不超过六年</w:t>
      </w:r>
      <w:r>
        <w:rPr>
          <w:rFonts w:hint="eastAsia"/>
          <w:color w:val="auto"/>
          <w:lang w:eastAsia="zh-CN"/>
        </w:rPr>
        <w:t>，</w:t>
      </w:r>
      <w:r>
        <w:rPr>
          <w:color w:val="auto"/>
        </w:rPr>
        <w:t>专转本含休学、延长学习</w:t>
      </w:r>
      <w:r>
        <w:rPr>
          <w:rFonts w:hint="eastAsia"/>
          <w:color w:val="auto"/>
          <w:lang w:val="en-US" w:eastAsia="zh-CN"/>
        </w:rPr>
        <w:t>年限等</w:t>
      </w:r>
      <w:r>
        <w:rPr>
          <w:color w:val="auto"/>
        </w:rPr>
        <w:t>最长不超过三年</w:t>
      </w:r>
      <w:r>
        <w:rPr>
          <w:rFonts w:hint="eastAsia"/>
          <w:color w:val="auto"/>
          <w:lang w:eastAsia="zh-CN"/>
        </w:rPr>
        <w:t>）</w:t>
      </w:r>
      <w:r>
        <w:rPr>
          <w:color w:val="auto"/>
        </w:rPr>
        <w:t>，未获得专业培养计划规定的应修学分，所差学分小于</w:t>
      </w:r>
      <w:r>
        <w:rPr>
          <w:rFonts w:cs="Times New Roman"/>
          <w:color w:val="auto"/>
        </w:rPr>
        <w:t>14</w:t>
      </w:r>
      <w:r>
        <w:rPr>
          <w:color w:val="auto"/>
        </w:rPr>
        <w:t>学分的学生（专转本所差学分小于</w:t>
      </w:r>
      <w:r>
        <w:rPr>
          <w:rFonts w:cs="Times New Roman"/>
          <w:color w:val="auto"/>
        </w:rPr>
        <w:t>8</w:t>
      </w:r>
      <w:r>
        <w:rPr>
          <w:color w:val="auto"/>
        </w:rPr>
        <w:t>学分的学生），予以结业</w:t>
      </w:r>
      <w:r>
        <w:rPr>
          <w:rFonts w:hint="eastAsia"/>
          <w:color w:val="auto"/>
          <w:lang w:eastAsia="zh-CN"/>
        </w:rPr>
        <w:t>。</w:t>
      </w:r>
    </w:p>
    <w:p>
      <w:pPr>
        <w:pStyle w:val="14"/>
        <w:tabs>
          <w:tab w:val="left" w:pos="1071"/>
        </w:tabs>
        <w:spacing w:line="300" w:lineRule="exact"/>
        <w:ind w:firstLine="420"/>
        <w:jc w:val="both"/>
        <w:rPr>
          <w:color w:val="auto"/>
          <w:lang w:eastAsia="zh-CN"/>
        </w:rPr>
      </w:pPr>
      <w:bookmarkStart w:id="139" w:name="bookmark173"/>
      <w:r>
        <w:rPr>
          <w:color w:val="auto"/>
        </w:rPr>
        <w:t>（</w:t>
      </w:r>
      <w:bookmarkEnd w:id="139"/>
      <w:r>
        <w:rPr>
          <w:color w:val="auto"/>
        </w:rPr>
        <w:t>二）</w:t>
      </w:r>
      <w:r>
        <w:rPr>
          <w:color w:val="auto"/>
        </w:rPr>
        <w:tab/>
      </w:r>
      <w:r>
        <w:rPr>
          <w:color w:val="auto"/>
        </w:rPr>
        <w:t>结业学生应办理离校手续,发给结业证书</w:t>
      </w:r>
      <w:r>
        <w:rPr>
          <w:rFonts w:hint="eastAsia"/>
          <w:color w:val="auto"/>
          <w:lang w:eastAsia="zh-CN"/>
        </w:rPr>
        <w:t>。</w:t>
      </w:r>
    </w:p>
    <w:p>
      <w:pPr>
        <w:pStyle w:val="14"/>
        <w:tabs>
          <w:tab w:val="left" w:pos="1064"/>
        </w:tabs>
        <w:spacing w:line="300" w:lineRule="exact"/>
        <w:ind w:firstLine="420"/>
        <w:jc w:val="both"/>
        <w:rPr>
          <w:color w:val="auto"/>
          <w:lang w:eastAsia="zh-CN"/>
        </w:rPr>
      </w:pPr>
      <w:bookmarkStart w:id="140" w:name="bookmark174"/>
      <w:r>
        <w:rPr>
          <w:color w:val="auto"/>
        </w:rPr>
        <w:t>（</w:t>
      </w:r>
      <w:bookmarkEnd w:id="140"/>
      <w:r>
        <w:rPr>
          <w:color w:val="auto"/>
        </w:rPr>
        <w:t>三）</w:t>
      </w:r>
      <w:r>
        <w:rPr>
          <w:color w:val="auto"/>
        </w:rPr>
        <w:tab/>
      </w:r>
      <w:r>
        <w:rPr>
          <w:color w:val="auto"/>
        </w:rPr>
        <w:t>结业学生</w:t>
      </w:r>
      <w:r>
        <w:rPr>
          <w:rFonts w:hint="eastAsia"/>
          <w:color w:val="auto"/>
          <w:lang w:eastAsia="zh-CN"/>
        </w:rPr>
        <w:t>（本科</w:t>
      </w:r>
      <w:r>
        <w:rPr>
          <w:color w:val="auto"/>
        </w:rPr>
        <w:t>含休学、延长学习</w:t>
      </w:r>
      <w:r>
        <w:rPr>
          <w:rFonts w:hint="eastAsia"/>
          <w:color w:val="auto"/>
          <w:lang w:val="en-US" w:eastAsia="zh-CN"/>
        </w:rPr>
        <w:t>年限等</w:t>
      </w:r>
      <w:r>
        <w:rPr>
          <w:color w:val="auto"/>
        </w:rPr>
        <w:t>最长不超过六年</w:t>
      </w:r>
      <w:r>
        <w:rPr>
          <w:rFonts w:hint="eastAsia"/>
          <w:color w:val="auto"/>
          <w:lang w:eastAsia="zh-CN"/>
        </w:rPr>
        <w:t>，</w:t>
      </w:r>
      <w:r>
        <w:rPr>
          <w:color w:val="auto"/>
        </w:rPr>
        <w:t>专转本含休学、延长学习</w:t>
      </w:r>
      <w:r>
        <w:rPr>
          <w:rFonts w:hint="eastAsia"/>
          <w:color w:val="auto"/>
          <w:lang w:val="en-US" w:eastAsia="zh-CN"/>
        </w:rPr>
        <w:t>年限等</w:t>
      </w:r>
      <w:r>
        <w:rPr>
          <w:color w:val="auto"/>
        </w:rPr>
        <w:t>最长不超过三年</w:t>
      </w:r>
      <w:r>
        <w:rPr>
          <w:rFonts w:hint="eastAsia"/>
          <w:color w:val="auto"/>
          <w:lang w:eastAsia="zh-CN"/>
        </w:rPr>
        <w:t>）</w:t>
      </w:r>
      <w:r>
        <w:rPr>
          <w:color w:val="auto"/>
        </w:rPr>
        <w:t>应在其结业后两年内申请所差学分课程的跟班重修或考核，补满所差学分后携结业证书回校申请换发毕业证书。毕业时间以换发证书时间为准。逾期不申办者，视为自动放弃。</w:t>
      </w:r>
    </w:p>
    <w:p>
      <w:pPr>
        <w:pStyle w:val="14"/>
        <w:tabs>
          <w:tab w:val="left" w:pos="1071"/>
        </w:tabs>
        <w:spacing w:line="300" w:lineRule="exact"/>
        <w:ind w:firstLine="420"/>
        <w:jc w:val="both"/>
        <w:rPr>
          <w:color w:val="auto"/>
        </w:rPr>
      </w:pPr>
      <w:bookmarkStart w:id="141" w:name="bookmark175"/>
      <w:r>
        <w:rPr>
          <w:color w:val="auto"/>
        </w:rPr>
        <w:t>（</w:t>
      </w:r>
      <w:bookmarkEnd w:id="141"/>
      <w:r>
        <w:rPr>
          <w:color w:val="auto"/>
        </w:rPr>
        <w:t>四）</w:t>
      </w:r>
      <w:r>
        <w:rPr>
          <w:color w:val="auto"/>
        </w:rPr>
        <w:tab/>
      </w:r>
      <w:r>
        <w:rPr>
          <w:color w:val="auto"/>
        </w:rPr>
        <w:t>在课程重修或考核过程中作弊的，永久取消其该门课程的考试资格。</w:t>
      </w:r>
    </w:p>
    <w:p>
      <w:pPr>
        <w:pStyle w:val="14"/>
        <w:spacing w:line="300" w:lineRule="exact"/>
        <w:ind w:firstLine="420"/>
        <w:jc w:val="both"/>
        <w:rPr>
          <w:color w:val="auto"/>
        </w:rPr>
      </w:pPr>
      <w:r>
        <w:rPr>
          <w:color w:val="auto"/>
        </w:rPr>
        <w:t>第三十九条</w:t>
      </w:r>
      <w:r>
        <w:rPr>
          <w:rFonts w:hint="eastAsia"/>
          <w:color w:val="auto"/>
          <w:lang w:eastAsia="zh-CN"/>
        </w:rPr>
        <w:t xml:space="preserve"> </w:t>
      </w:r>
      <w:r>
        <w:rPr>
          <w:color w:val="auto"/>
        </w:rPr>
        <w:t>肄业</w:t>
      </w:r>
    </w:p>
    <w:p>
      <w:pPr>
        <w:pStyle w:val="14"/>
        <w:spacing w:line="300" w:lineRule="exact"/>
        <w:ind w:firstLine="420"/>
        <w:jc w:val="both"/>
        <w:rPr>
          <w:color w:val="auto"/>
          <w:lang w:eastAsia="zh-CN"/>
        </w:rPr>
      </w:pPr>
      <w:r>
        <w:rPr>
          <w:color w:val="auto"/>
        </w:rPr>
        <w:t>（</w:t>
      </w:r>
      <w:r>
        <w:rPr>
          <w:rFonts w:hint="eastAsia"/>
          <w:color w:val="auto"/>
        </w:rPr>
        <w:t>一</w:t>
      </w:r>
      <w:r>
        <w:rPr>
          <w:color w:val="auto"/>
        </w:rPr>
        <w:t>）</w:t>
      </w:r>
      <w:r>
        <w:rPr>
          <w:rFonts w:hint="eastAsia"/>
          <w:color w:val="auto"/>
          <w:lang w:eastAsia="zh-CN"/>
        </w:rPr>
        <w:t xml:space="preserve"> </w:t>
      </w:r>
      <w:r>
        <w:rPr>
          <w:color w:val="auto"/>
        </w:rPr>
        <w:t>在规定学习年限内</w:t>
      </w:r>
      <w:r>
        <w:rPr>
          <w:rFonts w:hint="eastAsia"/>
          <w:color w:val="auto"/>
          <w:lang w:eastAsia="zh-CN"/>
        </w:rPr>
        <w:t>（本科</w:t>
      </w:r>
      <w:r>
        <w:rPr>
          <w:color w:val="auto"/>
        </w:rPr>
        <w:t>含休学、延长学习</w:t>
      </w:r>
      <w:r>
        <w:rPr>
          <w:rFonts w:hint="eastAsia"/>
          <w:color w:val="auto"/>
          <w:lang w:val="en-US" w:eastAsia="zh-CN"/>
        </w:rPr>
        <w:t>年限等</w:t>
      </w:r>
      <w:r>
        <w:rPr>
          <w:color w:val="auto"/>
        </w:rPr>
        <w:t>最长不超过六年</w:t>
      </w:r>
      <w:r>
        <w:rPr>
          <w:rFonts w:hint="eastAsia"/>
          <w:color w:val="auto"/>
          <w:lang w:eastAsia="zh-CN"/>
        </w:rPr>
        <w:t>，</w:t>
      </w:r>
      <w:r>
        <w:rPr>
          <w:color w:val="auto"/>
        </w:rPr>
        <w:t>专转本含休学、延长学习</w:t>
      </w:r>
      <w:r>
        <w:rPr>
          <w:rFonts w:hint="eastAsia"/>
          <w:color w:val="auto"/>
          <w:lang w:val="en-US" w:eastAsia="zh-CN"/>
        </w:rPr>
        <w:t>年限等</w:t>
      </w:r>
      <w:r>
        <w:rPr>
          <w:color w:val="auto"/>
        </w:rPr>
        <w:t>最长不超过三年</w:t>
      </w:r>
      <w:r>
        <w:rPr>
          <w:rFonts w:hint="eastAsia"/>
          <w:color w:val="auto"/>
          <w:lang w:eastAsia="zh-CN"/>
        </w:rPr>
        <w:t>）</w:t>
      </w:r>
      <w:r>
        <w:rPr>
          <w:color w:val="auto"/>
        </w:rPr>
        <w:t xml:space="preserve">，未修满专业培养计划规定的应修学分数，所差学分大于等于 </w:t>
      </w:r>
      <w:r>
        <w:rPr>
          <w:rFonts w:cs="Times New Roman"/>
          <w:color w:val="auto"/>
        </w:rPr>
        <w:t>14</w:t>
      </w:r>
      <w:r>
        <w:rPr>
          <w:color w:val="auto"/>
        </w:rPr>
        <w:t>学分的学生（专转本所差学分大于等于</w:t>
      </w:r>
      <w:r>
        <w:rPr>
          <w:rFonts w:cs="Times New Roman"/>
          <w:color w:val="auto"/>
        </w:rPr>
        <w:t>8</w:t>
      </w:r>
      <w:r>
        <w:rPr>
          <w:color w:val="auto"/>
        </w:rPr>
        <w:t>学分的学生），予以肄业</w:t>
      </w:r>
      <w:r>
        <w:rPr>
          <w:rFonts w:hint="eastAsia"/>
          <w:color w:val="auto"/>
          <w:lang w:eastAsia="zh-CN"/>
        </w:rPr>
        <w:t>。</w:t>
      </w:r>
    </w:p>
    <w:p>
      <w:pPr>
        <w:pStyle w:val="14"/>
        <w:tabs>
          <w:tab w:val="left" w:pos="1057"/>
        </w:tabs>
        <w:spacing w:line="300" w:lineRule="exact"/>
        <w:ind w:firstLine="420"/>
        <w:jc w:val="both"/>
        <w:rPr>
          <w:color w:val="auto"/>
          <w:lang w:eastAsia="zh-CN"/>
        </w:rPr>
      </w:pPr>
      <w:bookmarkStart w:id="142" w:name="bookmark176"/>
      <w:r>
        <w:rPr>
          <w:color w:val="auto"/>
        </w:rPr>
        <w:t>（</w:t>
      </w:r>
      <w:bookmarkEnd w:id="142"/>
      <w:r>
        <w:rPr>
          <w:color w:val="auto"/>
        </w:rPr>
        <w:t>二）</w:t>
      </w:r>
      <w:r>
        <w:rPr>
          <w:color w:val="auto"/>
        </w:rPr>
        <w:tab/>
      </w:r>
      <w:r>
        <w:rPr>
          <w:color w:val="auto"/>
        </w:rPr>
        <w:t>肄业学生应办理离校手续，发给肄业证书</w:t>
      </w:r>
      <w:r>
        <w:rPr>
          <w:rFonts w:hint="eastAsia"/>
          <w:color w:val="auto"/>
          <w:lang w:eastAsia="zh-CN"/>
        </w:rPr>
        <w:t>。</w:t>
      </w:r>
    </w:p>
    <w:p>
      <w:pPr>
        <w:pStyle w:val="14"/>
        <w:tabs>
          <w:tab w:val="left" w:pos="1057"/>
        </w:tabs>
        <w:spacing w:after="340" w:line="300" w:lineRule="exact"/>
        <w:ind w:firstLine="420"/>
        <w:jc w:val="both"/>
        <w:rPr>
          <w:color w:val="auto"/>
        </w:rPr>
      </w:pPr>
      <w:bookmarkStart w:id="143" w:name="bookmark177"/>
      <w:r>
        <w:rPr>
          <w:color w:val="auto"/>
        </w:rPr>
        <w:t>（</w:t>
      </w:r>
      <w:bookmarkEnd w:id="143"/>
      <w:r>
        <w:rPr>
          <w:color w:val="auto"/>
        </w:rPr>
        <w:t>三）</w:t>
      </w:r>
      <w:r>
        <w:rPr>
          <w:color w:val="auto"/>
        </w:rPr>
        <w:tab/>
      </w:r>
      <w:r>
        <w:rPr>
          <w:color w:val="auto"/>
        </w:rPr>
        <w:t>肄业者概不换发毕业证书或结业证书。</w:t>
      </w:r>
    </w:p>
    <w:p>
      <w:pPr>
        <w:pStyle w:val="18"/>
        <w:keepNext/>
        <w:keepLines/>
        <w:spacing w:after="340"/>
        <w:rPr>
          <w:color w:val="auto"/>
        </w:rPr>
      </w:pPr>
      <w:r>
        <w:rPr>
          <w:color w:val="auto"/>
        </w:rPr>
        <w:t>第九章</w:t>
      </w:r>
      <w:r>
        <w:rPr>
          <w:rFonts w:hint="eastAsia"/>
          <w:color w:val="auto"/>
          <w:lang w:eastAsia="zh-CN"/>
        </w:rPr>
        <w:t xml:space="preserve"> </w:t>
      </w:r>
      <w:r>
        <w:rPr>
          <w:color w:val="auto"/>
        </w:rPr>
        <w:t>学业证书管理</w:t>
      </w:r>
    </w:p>
    <w:p>
      <w:pPr>
        <w:pStyle w:val="14"/>
        <w:spacing w:line="300" w:lineRule="exact"/>
        <w:ind w:firstLine="420"/>
        <w:jc w:val="both"/>
        <w:rPr>
          <w:color w:val="auto"/>
        </w:rPr>
      </w:pPr>
      <w:r>
        <w:rPr>
          <w:color w:val="auto"/>
        </w:rPr>
        <w:t>第四十条 学生在校期间变更姓名、出生日期等个人信息的，应当有合理、充分的理由， 并提供有法定效力的相应证明文件。</w:t>
      </w:r>
    </w:p>
    <w:p>
      <w:pPr>
        <w:pStyle w:val="14"/>
        <w:spacing w:line="300" w:lineRule="exact"/>
        <w:ind w:firstLine="420"/>
        <w:jc w:val="both"/>
        <w:rPr>
          <w:color w:val="auto"/>
        </w:rPr>
      </w:pPr>
      <w:r>
        <w:rPr>
          <w:color w:val="auto"/>
        </w:rPr>
        <w:t>第四十一条</w:t>
      </w:r>
      <w:r>
        <w:rPr>
          <w:rFonts w:hint="eastAsia"/>
          <w:color w:val="auto"/>
          <w:lang w:eastAsia="zh-CN"/>
        </w:rPr>
        <w:t xml:space="preserve"> </w:t>
      </w:r>
      <w:r>
        <w:rPr>
          <w:color w:val="auto"/>
        </w:rPr>
        <w:t>学生应按规定时间及时登录教育部学籍查询网站核查学籍、学历电子注册信息。</w:t>
      </w:r>
    </w:p>
    <w:p>
      <w:pPr>
        <w:pStyle w:val="14"/>
        <w:spacing w:line="300" w:lineRule="exact"/>
        <w:ind w:firstLine="420"/>
        <w:jc w:val="both"/>
        <w:rPr>
          <w:color w:val="auto"/>
        </w:rPr>
      </w:pPr>
      <w:r>
        <w:rPr>
          <w:color w:val="auto"/>
        </w:rPr>
        <w:t>第四十二条</w:t>
      </w:r>
      <w:r>
        <w:rPr>
          <w:rFonts w:hint="eastAsia"/>
          <w:color w:val="auto"/>
          <w:lang w:eastAsia="zh-CN"/>
        </w:rPr>
        <w:t xml:space="preserve"> </w:t>
      </w:r>
      <w:r>
        <w:rPr>
          <w:color w:val="auto"/>
        </w:rPr>
        <w:t>学生在学业、学术、品行等方面有严重失信行为，以考试作弊、剽窃、 抄袭等学术不端行为或者其他不正当手段获得学历证书、学位证书的，经查实，学校将依法 予以撤销证书。</w:t>
      </w:r>
    </w:p>
    <w:p>
      <w:pPr>
        <w:pStyle w:val="14"/>
        <w:spacing w:line="300" w:lineRule="exact"/>
        <w:ind w:firstLine="420"/>
        <w:jc w:val="both"/>
        <w:rPr>
          <w:color w:val="auto"/>
        </w:rPr>
      </w:pPr>
      <w:r>
        <w:rPr>
          <w:color w:val="auto"/>
        </w:rPr>
        <w:t>第四十三条</w:t>
      </w:r>
      <w:r>
        <w:rPr>
          <w:rFonts w:hint="eastAsia"/>
          <w:color w:val="auto"/>
          <w:lang w:eastAsia="zh-CN"/>
        </w:rPr>
        <w:t xml:space="preserve"> </w:t>
      </w:r>
      <w:r>
        <w:rPr>
          <w:color w:val="auto"/>
        </w:rPr>
        <w:t>撤销的学历证书、学位证书已注册的，学校将予以注销并报教育行政部门宣布无效。</w:t>
      </w:r>
    </w:p>
    <w:p>
      <w:pPr>
        <w:pStyle w:val="14"/>
        <w:spacing w:after="380" w:line="300" w:lineRule="exact"/>
        <w:ind w:firstLine="420"/>
        <w:jc w:val="both"/>
        <w:rPr>
          <w:color w:val="auto"/>
        </w:rPr>
      </w:pPr>
      <w:r>
        <w:rPr>
          <w:color w:val="auto"/>
        </w:rPr>
        <w:t>第四十四条 学历证书和学位证书遗失或者损坏，经本人申请，学校核实后出具相应的证明书。证明书与原证书具有同等效力。</w:t>
      </w:r>
    </w:p>
    <w:p>
      <w:pPr>
        <w:pStyle w:val="18"/>
        <w:keepNext/>
        <w:keepLines/>
        <w:spacing w:after="340"/>
        <w:rPr>
          <w:color w:val="auto"/>
        </w:rPr>
      </w:pPr>
      <w:bookmarkStart w:id="144" w:name="bookmark183"/>
      <w:bookmarkStart w:id="145" w:name="bookmark181"/>
      <w:bookmarkStart w:id="146" w:name="bookmark182"/>
      <w:r>
        <w:rPr>
          <w:color w:val="auto"/>
        </w:rPr>
        <w:t>第十章</w:t>
      </w:r>
      <w:r>
        <w:rPr>
          <w:rFonts w:hint="eastAsia"/>
          <w:color w:val="auto"/>
          <w:lang w:eastAsia="zh-CN"/>
        </w:rPr>
        <w:t xml:space="preserve"> </w:t>
      </w:r>
      <w:r>
        <w:rPr>
          <w:color w:val="auto"/>
        </w:rPr>
        <w:t>学习纪律与考勤</w:t>
      </w:r>
      <w:bookmarkEnd w:id="144"/>
      <w:bookmarkEnd w:id="145"/>
      <w:bookmarkEnd w:id="146"/>
    </w:p>
    <w:p>
      <w:pPr>
        <w:pStyle w:val="14"/>
        <w:spacing w:line="300" w:lineRule="exact"/>
        <w:ind w:firstLine="420"/>
        <w:jc w:val="both"/>
        <w:rPr>
          <w:color w:val="auto"/>
        </w:rPr>
      </w:pPr>
      <w:r>
        <w:rPr>
          <w:color w:val="auto"/>
        </w:rPr>
        <w:t>第四十五条</w:t>
      </w:r>
      <w:r>
        <w:rPr>
          <w:rFonts w:hint="eastAsia"/>
          <w:color w:val="auto"/>
          <w:lang w:eastAsia="zh-CN"/>
        </w:rPr>
        <w:t xml:space="preserve"> </w:t>
      </w:r>
      <w:r>
        <w:rPr>
          <w:color w:val="auto"/>
        </w:rPr>
        <w:t>学习纪律</w:t>
      </w:r>
    </w:p>
    <w:p>
      <w:pPr>
        <w:pStyle w:val="14"/>
        <w:tabs>
          <w:tab w:val="left" w:pos="1054"/>
        </w:tabs>
        <w:spacing w:line="300" w:lineRule="exact"/>
        <w:ind w:firstLine="420"/>
        <w:jc w:val="both"/>
        <w:rPr>
          <w:color w:val="auto"/>
        </w:rPr>
      </w:pPr>
      <w:bookmarkStart w:id="147" w:name="bookmark184"/>
      <w:r>
        <w:rPr>
          <w:color w:val="auto"/>
        </w:rPr>
        <w:t>（</w:t>
      </w:r>
      <w:bookmarkEnd w:id="147"/>
      <w:r>
        <w:rPr>
          <w:color w:val="auto"/>
        </w:rPr>
        <w:t>一）</w:t>
      </w:r>
      <w:r>
        <w:rPr>
          <w:color w:val="auto"/>
        </w:rPr>
        <w:tab/>
      </w:r>
      <w:r>
        <w:rPr>
          <w:color w:val="auto"/>
        </w:rPr>
        <w:t>学生应在每学期开学时按时到学院办理报到和注册手续，自开学第一天起开始考勤。在校期间不得擅自离开本地；</w:t>
      </w:r>
    </w:p>
    <w:p>
      <w:pPr>
        <w:pStyle w:val="14"/>
        <w:tabs>
          <w:tab w:val="left" w:pos="1054"/>
        </w:tabs>
        <w:spacing w:line="300" w:lineRule="exact"/>
        <w:ind w:firstLine="420"/>
        <w:jc w:val="both"/>
        <w:rPr>
          <w:color w:val="auto"/>
        </w:rPr>
      </w:pPr>
      <w:bookmarkStart w:id="148" w:name="bookmark185"/>
      <w:r>
        <w:rPr>
          <w:color w:val="auto"/>
        </w:rPr>
        <w:t>（</w:t>
      </w:r>
      <w:bookmarkEnd w:id="148"/>
      <w:r>
        <w:rPr>
          <w:color w:val="auto"/>
        </w:rPr>
        <w:t>二）</w:t>
      </w:r>
      <w:r>
        <w:rPr>
          <w:color w:val="auto"/>
        </w:rPr>
        <w:tab/>
      </w:r>
      <w:r>
        <w:rPr>
          <w:color w:val="auto"/>
        </w:rPr>
        <w:t>学生应遵守学校的各种管理规定，按时参加一切规定的教学活动。因故不能参加 者应事先请假，凡未请假或请假未批准而不参加者和节假日期间擅自离校或迟返校者，一律以旷课论处，按《南京航空航天大学金城学院学生违纪处分办法》处理；</w:t>
      </w:r>
    </w:p>
    <w:p>
      <w:pPr>
        <w:pStyle w:val="14"/>
        <w:tabs>
          <w:tab w:val="left" w:pos="1054"/>
        </w:tabs>
        <w:spacing w:line="300" w:lineRule="exact"/>
        <w:ind w:firstLine="420"/>
        <w:jc w:val="both"/>
        <w:rPr>
          <w:color w:val="auto"/>
        </w:rPr>
      </w:pPr>
      <w:bookmarkStart w:id="149" w:name="bookmark186"/>
      <w:r>
        <w:rPr>
          <w:color w:val="auto"/>
        </w:rPr>
        <w:t>（</w:t>
      </w:r>
      <w:bookmarkEnd w:id="149"/>
      <w:r>
        <w:rPr>
          <w:color w:val="auto"/>
        </w:rPr>
        <w:t>三）</w:t>
      </w:r>
      <w:r>
        <w:rPr>
          <w:color w:val="auto"/>
        </w:rPr>
        <w:tab/>
      </w:r>
      <w:r>
        <w:rPr>
          <w:color w:val="auto"/>
        </w:rPr>
        <w:t>学生在学习期间，因特殊情况需请假者，应事先办理请假手续。请假三天以内由学生工作人员批准，送学院办公室备案；请假四天及以上，由学院领导批准。凡越权审批一律无效。批准学生请假后，各学院须通知任课教师。</w:t>
      </w:r>
    </w:p>
    <w:p>
      <w:pPr>
        <w:pStyle w:val="14"/>
        <w:spacing w:line="300" w:lineRule="exact"/>
        <w:ind w:firstLine="420"/>
        <w:jc w:val="both"/>
        <w:rPr>
          <w:color w:val="auto"/>
        </w:rPr>
      </w:pPr>
      <w:r>
        <w:rPr>
          <w:color w:val="auto"/>
          <w:lang w:val="zh-CN" w:eastAsia="zh-CN" w:bidi="zh-CN"/>
        </w:rPr>
        <w:t>（</w:t>
      </w:r>
      <w:r>
        <w:rPr>
          <w:color w:val="auto"/>
        </w:rPr>
        <w:t>四）一学期请假累计超过一个月,应予休学。</w:t>
      </w:r>
    </w:p>
    <w:p>
      <w:pPr>
        <w:pStyle w:val="14"/>
        <w:spacing w:line="300" w:lineRule="exact"/>
        <w:ind w:firstLine="420"/>
        <w:jc w:val="both"/>
        <w:rPr>
          <w:color w:val="auto"/>
        </w:rPr>
      </w:pPr>
      <w:r>
        <w:rPr>
          <w:color w:val="auto"/>
        </w:rPr>
        <w:t>第四十六条</w:t>
      </w:r>
      <w:r>
        <w:rPr>
          <w:rFonts w:hint="eastAsia"/>
          <w:color w:val="auto"/>
          <w:lang w:eastAsia="zh-CN"/>
        </w:rPr>
        <w:t xml:space="preserve"> </w:t>
      </w:r>
      <w:r>
        <w:rPr>
          <w:color w:val="auto"/>
        </w:rPr>
        <w:t>学生应遵守《南京航空航天大学金城学院学生考试管理规定》，考试违纪或作弊按《南京航空航天大学金城学院学生违纪处分办法》处理。</w:t>
      </w:r>
    </w:p>
    <w:p>
      <w:pPr>
        <w:pStyle w:val="14"/>
        <w:spacing w:after="360" w:line="300" w:lineRule="exact"/>
        <w:ind w:firstLine="420"/>
        <w:jc w:val="both"/>
        <w:rPr>
          <w:color w:val="auto"/>
        </w:rPr>
      </w:pPr>
      <w:r>
        <w:rPr>
          <w:color w:val="auto"/>
        </w:rPr>
        <w:t>第四十七条 对德、智、体、美</w:t>
      </w:r>
      <w:r>
        <w:rPr>
          <w:rFonts w:hint="eastAsia"/>
          <w:color w:val="auto"/>
          <w:lang w:eastAsia="zh-CN"/>
        </w:rPr>
        <w:t>、</w:t>
      </w:r>
      <w:r>
        <w:rPr>
          <w:color w:val="auto"/>
        </w:rPr>
        <w:t>劳全面发展或在思想品德、学业成绩、创新创业、科技创造、学科竞赛、体育比赛及社会服务等方面表现突出的学生，学校将给予相应奖励，记入本人学籍档案。</w:t>
      </w:r>
    </w:p>
    <w:p>
      <w:pPr>
        <w:pStyle w:val="18"/>
        <w:keepNext/>
        <w:keepLines/>
        <w:spacing w:after="320"/>
        <w:rPr>
          <w:color w:val="auto"/>
        </w:rPr>
      </w:pPr>
      <w:bookmarkStart w:id="150" w:name="bookmark187"/>
      <w:bookmarkStart w:id="151" w:name="bookmark188"/>
      <w:bookmarkStart w:id="152" w:name="bookmark189"/>
      <w:r>
        <w:rPr>
          <w:color w:val="auto"/>
        </w:rPr>
        <w:t>第十一章</w:t>
      </w:r>
      <w:r>
        <w:rPr>
          <w:rFonts w:hint="eastAsia"/>
          <w:color w:val="auto"/>
          <w:lang w:eastAsia="zh-CN"/>
        </w:rPr>
        <w:t xml:space="preserve"> </w:t>
      </w:r>
      <w:r>
        <w:rPr>
          <w:color w:val="auto"/>
        </w:rPr>
        <w:t>附则</w:t>
      </w:r>
      <w:bookmarkEnd w:id="150"/>
      <w:bookmarkEnd w:id="151"/>
      <w:bookmarkEnd w:id="152"/>
    </w:p>
    <w:p>
      <w:pPr>
        <w:pStyle w:val="14"/>
        <w:spacing w:line="302" w:lineRule="exact"/>
        <w:ind w:firstLine="420"/>
        <w:jc w:val="both"/>
        <w:rPr>
          <w:rFonts w:eastAsia="PMingLiU"/>
          <w:color w:val="auto"/>
        </w:rPr>
      </w:pPr>
      <w:r>
        <w:rPr>
          <w:color w:val="auto"/>
        </w:rPr>
        <w:t xml:space="preserve">第四十八条 </w:t>
      </w:r>
      <w:r>
        <w:rPr>
          <w:rFonts w:hint="eastAsia"/>
          <w:color w:val="auto"/>
        </w:rPr>
        <w:t>参加国际合作教育项目及赴境外高校学习的学生按《本科生中外合作办学项目管理办法》执行。</w:t>
      </w:r>
    </w:p>
    <w:p>
      <w:pPr>
        <w:pStyle w:val="14"/>
        <w:spacing w:line="302" w:lineRule="exact"/>
        <w:ind w:firstLine="420"/>
        <w:jc w:val="both"/>
        <w:rPr>
          <w:rFonts w:eastAsia="PMingLiU"/>
          <w:color w:val="auto"/>
        </w:rPr>
      </w:pPr>
      <w:r>
        <w:rPr>
          <w:rFonts w:hint="eastAsia" w:eastAsia="PMingLiU"/>
          <w:color w:val="auto"/>
        </w:rPr>
        <w:t>飞行技术专业的学生按《飞行技术专业学生学籍管理的补充规定》执行。</w:t>
      </w:r>
    </w:p>
    <w:p>
      <w:pPr>
        <w:pStyle w:val="14"/>
        <w:spacing w:line="302" w:lineRule="exact"/>
        <w:ind w:firstLine="420"/>
        <w:jc w:val="both"/>
        <w:rPr>
          <w:color w:val="auto"/>
        </w:rPr>
      </w:pPr>
      <w:r>
        <w:rPr>
          <w:color w:val="auto"/>
        </w:rPr>
        <w:t>第四十九条</w:t>
      </w:r>
      <w:r>
        <w:rPr>
          <w:rFonts w:hint="eastAsia"/>
          <w:color w:val="auto"/>
          <w:lang w:eastAsia="zh-CN"/>
        </w:rPr>
        <w:t xml:space="preserve"> </w:t>
      </w:r>
      <w:r>
        <w:rPr>
          <w:color w:val="auto"/>
        </w:rPr>
        <w:t>有关收费情况另见收费管理规定。</w:t>
      </w:r>
    </w:p>
    <w:p>
      <w:pPr>
        <w:pStyle w:val="14"/>
        <w:spacing w:line="302" w:lineRule="exact"/>
        <w:ind w:firstLine="420"/>
        <w:jc w:val="both"/>
        <w:rPr>
          <w:color w:val="auto"/>
        </w:rPr>
      </w:pPr>
      <w:r>
        <w:rPr>
          <w:color w:val="auto"/>
        </w:rPr>
        <w:t>第五十条</w:t>
      </w:r>
      <w:r>
        <w:rPr>
          <w:rFonts w:hint="eastAsia"/>
          <w:color w:val="auto"/>
          <w:lang w:eastAsia="zh-CN"/>
        </w:rPr>
        <w:t xml:space="preserve"> </w:t>
      </w:r>
      <w:r>
        <w:rPr>
          <w:color w:val="auto"/>
        </w:rPr>
        <w:t>本办法自</w:t>
      </w:r>
      <w:r>
        <w:rPr>
          <w:rFonts w:ascii="Times New Roman" w:hAnsi="Times New Roman" w:eastAsia="Times New Roman" w:cs="Times New Roman"/>
          <w:color w:val="auto"/>
          <w:sz w:val="20"/>
          <w:szCs w:val="20"/>
        </w:rPr>
        <w:t>20</w:t>
      </w:r>
      <w:r>
        <w:rPr>
          <w:rFonts w:ascii="Times New Roman" w:hAnsi="Times New Roman" w:eastAsia="PMingLiU" w:cs="Times New Roman"/>
          <w:color w:val="auto"/>
          <w:sz w:val="20"/>
          <w:szCs w:val="20"/>
        </w:rPr>
        <w:t>21</w:t>
      </w:r>
      <w:r>
        <w:rPr>
          <w:rFonts w:hint="eastAsia" w:cs="Times New Roman" w:asciiTheme="minorEastAsia" w:hAnsiTheme="minorEastAsia" w:eastAsiaTheme="minorEastAsia"/>
          <w:color w:val="auto"/>
          <w:sz w:val="20"/>
          <w:szCs w:val="20"/>
        </w:rPr>
        <w:t>年</w:t>
      </w:r>
      <w:r>
        <w:rPr>
          <w:rFonts w:hint="eastAsia"/>
          <w:color w:val="auto"/>
          <w:lang w:eastAsia="zh-CN"/>
        </w:rPr>
        <w:t>9月1日</w:t>
      </w:r>
      <w:r>
        <w:rPr>
          <w:color w:val="auto"/>
        </w:rPr>
        <w:t>起执行，本办法学校授权教学科研处负责解释。</w:t>
      </w:r>
    </w:p>
    <w:p>
      <w:pPr>
        <w:pStyle w:val="14"/>
        <w:spacing w:line="302" w:lineRule="exact"/>
        <w:ind w:firstLine="420"/>
        <w:jc w:val="both"/>
        <w:rPr>
          <w:color w:val="auto"/>
        </w:rPr>
      </w:pPr>
      <w:r>
        <w:rPr>
          <w:color w:val="auto"/>
        </w:rPr>
        <w:t>附件：</w:t>
      </w:r>
    </w:p>
    <w:p>
      <w:pPr>
        <w:pStyle w:val="14"/>
        <w:spacing w:line="302" w:lineRule="exact"/>
        <w:ind w:firstLine="420"/>
        <w:jc w:val="both"/>
        <w:rPr>
          <w:color w:val="auto"/>
        </w:rPr>
      </w:pPr>
      <w:r>
        <w:rPr>
          <w:color w:val="auto"/>
        </w:rPr>
        <w:t>—、课程绩点</w:t>
      </w:r>
    </w:p>
    <w:p>
      <w:pPr>
        <w:pStyle w:val="14"/>
        <w:spacing w:line="302" w:lineRule="exact"/>
        <w:ind w:firstLine="420"/>
        <w:jc w:val="both"/>
        <w:rPr>
          <w:color w:val="auto"/>
        </w:rPr>
      </w:pPr>
      <w:r>
        <w:rPr>
          <w:color w:val="auto"/>
        </w:rPr>
        <w:t>课程绩点为课程学习质量的评价方式之一，是计算课程学分绩点的基本数据。课程考 核成绩与课程绩点的对应关系如下表所示:</w:t>
      </w:r>
    </w:p>
    <w:p>
      <w:pPr>
        <w:pStyle w:val="14"/>
        <w:spacing w:after="80" w:line="302" w:lineRule="exact"/>
        <w:ind w:firstLine="420"/>
        <w:jc w:val="both"/>
        <w:rPr>
          <w:color w:val="auto"/>
        </w:rPr>
      </w:pPr>
      <w:r>
        <w:rPr>
          <w:color w:val="auto"/>
        </w:rPr>
        <w:t>（</w:t>
      </w:r>
      <w:r>
        <w:rPr>
          <w:rFonts w:hint="eastAsia"/>
          <w:color w:val="auto"/>
        </w:rPr>
        <w:t>一</w:t>
      </w:r>
      <w:r>
        <w:rPr>
          <w:color w:val="auto"/>
        </w:rPr>
        <w:t>）课程考核成绩与课程绩点对应关系:</w:t>
      </w:r>
    </w:p>
    <w:tbl>
      <w:tblPr>
        <w:tblStyle w:val="6"/>
        <w:tblW w:w="0" w:type="auto"/>
        <w:jc w:val="center"/>
        <w:tblLayout w:type="fixed"/>
        <w:tblCellMar>
          <w:top w:w="0" w:type="dxa"/>
          <w:left w:w="10" w:type="dxa"/>
          <w:bottom w:w="0" w:type="dxa"/>
          <w:right w:w="10" w:type="dxa"/>
        </w:tblCellMar>
      </w:tblPr>
      <w:tblGrid>
        <w:gridCol w:w="1685"/>
        <w:gridCol w:w="1675"/>
        <w:gridCol w:w="1675"/>
        <w:gridCol w:w="1685"/>
      </w:tblGrid>
      <w:tr>
        <w:tblPrEx>
          <w:tblCellMar>
            <w:top w:w="0" w:type="dxa"/>
            <w:left w:w="10" w:type="dxa"/>
            <w:bottom w:w="0" w:type="dxa"/>
            <w:right w:w="10" w:type="dxa"/>
          </w:tblCellMar>
        </w:tblPrEx>
        <w:trPr>
          <w:trHeight w:val="360" w:hRule="exact"/>
          <w:jc w:val="center"/>
        </w:trPr>
        <w:tc>
          <w:tcPr>
            <w:tcW w:w="1685"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百分制成绩</w:t>
            </w:r>
          </w:p>
        </w:tc>
        <w:tc>
          <w:tcPr>
            <w:tcW w:w="1675"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绩点</w:t>
            </w:r>
          </w:p>
        </w:tc>
        <w:tc>
          <w:tcPr>
            <w:tcW w:w="1675" w:type="dxa"/>
            <w:tcBorders>
              <w:top w:val="single" w:color="auto" w:sz="4" w:space="0"/>
              <w:left w:val="single" w:color="auto" w:sz="4" w:space="0"/>
            </w:tcBorders>
            <w:shd w:val="clear" w:color="auto" w:fill="FFFFFF"/>
            <w:vAlign w:val="bottom"/>
          </w:tcPr>
          <w:p>
            <w:pPr>
              <w:pStyle w:val="20"/>
              <w:spacing w:line="240" w:lineRule="auto"/>
              <w:ind w:firstLine="280"/>
              <w:rPr>
                <w:color w:val="auto"/>
              </w:rPr>
            </w:pPr>
            <w:r>
              <w:rPr>
                <w:color w:val="auto"/>
              </w:rPr>
              <w:t>五级分制成绩</w:t>
            </w:r>
          </w:p>
        </w:tc>
        <w:tc>
          <w:tcPr>
            <w:tcW w:w="1685" w:type="dxa"/>
            <w:tcBorders>
              <w:top w:val="single" w:color="auto" w:sz="4" w:space="0"/>
              <w:left w:val="single" w:color="auto" w:sz="4" w:space="0"/>
              <w:right w:val="single" w:color="auto" w:sz="4" w:space="0"/>
            </w:tcBorders>
            <w:shd w:val="clear" w:color="auto" w:fill="FFFFFF"/>
            <w:vAlign w:val="bottom"/>
          </w:tcPr>
          <w:p>
            <w:pPr>
              <w:pStyle w:val="20"/>
              <w:spacing w:line="240" w:lineRule="auto"/>
              <w:ind w:firstLine="0"/>
              <w:jc w:val="center"/>
              <w:rPr>
                <w:color w:val="auto"/>
              </w:rPr>
            </w:pPr>
            <w:r>
              <w:rPr>
                <w:color w:val="auto"/>
              </w:rPr>
              <w:t>绩点</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90-100</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4.0-5.0</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优秀</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4.5</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80-89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3.0-3.9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良好</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3.5</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70-79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2.0-2.9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中等</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2.5</w:t>
            </w:r>
          </w:p>
        </w:tc>
      </w:tr>
      <w:tr>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60-69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1.0-1.9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及格</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1.5</w:t>
            </w:r>
          </w:p>
        </w:tc>
      </w:tr>
      <w:tr>
        <w:trPr>
          <w:trHeight w:val="360" w:hRule="exact"/>
          <w:jc w:val="center"/>
        </w:trPr>
        <w:tc>
          <w:tcPr>
            <w:tcW w:w="168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0-59</w:t>
            </w:r>
          </w:p>
        </w:tc>
        <w:tc>
          <w:tcPr>
            <w:tcW w:w="167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0</w:t>
            </w:r>
          </w:p>
        </w:tc>
        <w:tc>
          <w:tcPr>
            <w:tcW w:w="167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rPr>
            </w:pPr>
            <w:r>
              <w:rPr>
                <w:color w:val="auto"/>
              </w:rPr>
              <w:t>不及格</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0</w:t>
            </w:r>
          </w:p>
        </w:tc>
      </w:tr>
    </w:tbl>
    <w:p>
      <w:pPr>
        <w:spacing w:after="159" w:line="1" w:lineRule="exact"/>
        <w:rPr>
          <w:color w:val="auto"/>
        </w:rPr>
      </w:pPr>
    </w:p>
    <w:p>
      <w:pPr>
        <w:pStyle w:val="14"/>
        <w:spacing w:after="80" w:line="240" w:lineRule="auto"/>
        <w:ind w:firstLine="420"/>
        <w:jc w:val="both"/>
        <w:rPr>
          <w:color w:val="auto"/>
        </w:rPr>
      </w:pPr>
      <w:r>
        <w:rPr>
          <w:color w:val="auto"/>
        </w:rPr>
        <w:t>（二）补考课程考核成绩与课程绩点对应关系:</w:t>
      </w:r>
    </w:p>
    <w:tbl>
      <w:tblPr>
        <w:tblStyle w:val="6"/>
        <w:tblW w:w="0" w:type="auto"/>
        <w:jc w:val="center"/>
        <w:tblLayout w:type="fixed"/>
        <w:tblCellMar>
          <w:top w:w="0" w:type="dxa"/>
          <w:left w:w="10" w:type="dxa"/>
          <w:bottom w:w="0" w:type="dxa"/>
          <w:right w:w="10" w:type="dxa"/>
        </w:tblCellMar>
      </w:tblPr>
      <w:tblGrid>
        <w:gridCol w:w="1685"/>
        <w:gridCol w:w="1675"/>
        <w:gridCol w:w="1675"/>
        <w:gridCol w:w="1685"/>
      </w:tblGrid>
      <w:tr>
        <w:tblPrEx>
          <w:tblCellMar>
            <w:top w:w="0" w:type="dxa"/>
            <w:left w:w="10" w:type="dxa"/>
            <w:bottom w:w="0" w:type="dxa"/>
            <w:right w:w="10" w:type="dxa"/>
          </w:tblCellMar>
        </w:tblPrEx>
        <w:trPr>
          <w:trHeight w:val="360" w:hRule="exact"/>
          <w:jc w:val="center"/>
        </w:trPr>
        <w:tc>
          <w:tcPr>
            <w:tcW w:w="1685"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百分制成绩</w:t>
            </w:r>
          </w:p>
        </w:tc>
        <w:tc>
          <w:tcPr>
            <w:tcW w:w="1675"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绩点</w:t>
            </w:r>
          </w:p>
        </w:tc>
        <w:tc>
          <w:tcPr>
            <w:tcW w:w="1675" w:type="dxa"/>
            <w:tcBorders>
              <w:top w:val="single" w:color="auto" w:sz="4" w:space="0"/>
              <w:left w:val="single" w:color="auto" w:sz="4" w:space="0"/>
            </w:tcBorders>
            <w:shd w:val="clear" w:color="auto" w:fill="FFFFFF"/>
            <w:vAlign w:val="bottom"/>
          </w:tcPr>
          <w:p>
            <w:pPr>
              <w:pStyle w:val="20"/>
              <w:spacing w:line="240" w:lineRule="auto"/>
              <w:ind w:firstLine="280"/>
              <w:rPr>
                <w:color w:val="auto"/>
              </w:rPr>
            </w:pPr>
            <w:r>
              <w:rPr>
                <w:color w:val="auto"/>
              </w:rPr>
              <w:t>五级分制成绩</w:t>
            </w:r>
          </w:p>
        </w:tc>
        <w:tc>
          <w:tcPr>
            <w:tcW w:w="1685" w:type="dxa"/>
            <w:tcBorders>
              <w:top w:val="single" w:color="auto" w:sz="4" w:space="0"/>
              <w:left w:val="single" w:color="auto" w:sz="4" w:space="0"/>
              <w:right w:val="single" w:color="auto" w:sz="4" w:space="0"/>
            </w:tcBorders>
            <w:shd w:val="clear" w:color="auto" w:fill="FFFFFF"/>
            <w:vAlign w:val="bottom"/>
          </w:tcPr>
          <w:p>
            <w:pPr>
              <w:pStyle w:val="20"/>
              <w:spacing w:line="240" w:lineRule="auto"/>
              <w:ind w:firstLine="0"/>
              <w:jc w:val="center"/>
              <w:rPr>
                <w:color w:val="auto"/>
              </w:rPr>
            </w:pPr>
            <w:r>
              <w:rPr>
                <w:color w:val="auto"/>
              </w:rPr>
              <w:t>绩点</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90-100</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3.0-4.0</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优秀</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3.5</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80-89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2.0-2.9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良好</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2.5</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70-79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1.0-1.9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中等</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1.5</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60-69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0.8-0.98</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及格</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0.9</w:t>
            </w:r>
          </w:p>
        </w:tc>
      </w:tr>
      <w:tr>
        <w:tblPrEx>
          <w:tblCellMar>
            <w:top w:w="0" w:type="dxa"/>
            <w:left w:w="10" w:type="dxa"/>
            <w:bottom w:w="0" w:type="dxa"/>
            <w:right w:w="10" w:type="dxa"/>
          </w:tblCellMar>
        </w:tblPrEx>
        <w:trPr>
          <w:trHeight w:val="360" w:hRule="exact"/>
          <w:jc w:val="center"/>
        </w:trPr>
        <w:tc>
          <w:tcPr>
            <w:tcW w:w="168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0-59</w:t>
            </w:r>
          </w:p>
        </w:tc>
        <w:tc>
          <w:tcPr>
            <w:tcW w:w="167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0</w:t>
            </w:r>
          </w:p>
        </w:tc>
        <w:tc>
          <w:tcPr>
            <w:tcW w:w="167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rPr>
            </w:pPr>
            <w:r>
              <w:rPr>
                <w:color w:val="auto"/>
              </w:rPr>
              <w:t>不及格</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0</w:t>
            </w:r>
          </w:p>
        </w:tc>
      </w:tr>
    </w:tbl>
    <w:p>
      <w:pPr>
        <w:spacing w:after="159" w:line="1" w:lineRule="exact"/>
        <w:rPr>
          <w:color w:val="auto"/>
        </w:rPr>
      </w:pPr>
    </w:p>
    <w:p>
      <w:pPr>
        <w:pStyle w:val="14"/>
        <w:spacing w:after="80" w:line="240" w:lineRule="auto"/>
        <w:ind w:firstLine="420"/>
        <w:jc w:val="both"/>
        <w:rPr>
          <w:color w:val="auto"/>
        </w:rPr>
      </w:pPr>
      <w:r>
        <w:rPr>
          <w:color w:val="auto"/>
        </w:rPr>
        <w:t>（三）免修课程考核成绩与课程绩点对应关系:</w:t>
      </w:r>
    </w:p>
    <w:tbl>
      <w:tblPr>
        <w:tblStyle w:val="6"/>
        <w:tblW w:w="0" w:type="auto"/>
        <w:jc w:val="center"/>
        <w:tblLayout w:type="fixed"/>
        <w:tblCellMar>
          <w:top w:w="0" w:type="dxa"/>
          <w:left w:w="10" w:type="dxa"/>
          <w:bottom w:w="0" w:type="dxa"/>
          <w:right w:w="10" w:type="dxa"/>
        </w:tblCellMar>
      </w:tblPr>
      <w:tblGrid>
        <w:gridCol w:w="1685"/>
        <w:gridCol w:w="1675"/>
        <w:gridCol w:w="1675"/>
        <w:gridCol w:w="1685"/>
      </w:tblGrid>
      <w:tr>
        <w:tblPrEx>
          <w:tblCellMar>
            <w:top w:w="0" w:type="dxa"/>
            <w:left w:w="10" w:type="dxa"/>
            <w:bottom w:w="0" w:type="dxa"/>
            <w:right w:w="10" w:type="dxa"/>
          </w:tblCellMar>
        </w:tblPrEx>
        <w:trPr>
          <w:trHeight w:val="360" w:hRule="exact"/>
          <w:jc w:val="center"/>
        </w:trPr>
        <w:tc>
          <w:tcPr>
            <w:tcW w:w="1685"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百分制成绩</w:t>
            </w:r>
          </w:p>
        </w:tc>
        <w:tc>
          <w:tcPr>
            <w:tcW w:w="1675"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绩点</w:t>
            </w:r>
          </w:p>
        </w:tc>
        <w:tc>
          <w:tcPr>
            <w:tcW w:w="1675" w:type="dxa"/>
            <w:tcBorders>
              <w:top w:val="single" w:color="auto" w:sz="4" w:space="0"/>
              <w:left w:val="single" w:color="auto" w:sz="4" w:space="0"/>
            </w:tcBorders>
            <w:shd w:val="clear" w:color="auto" w:fill="FFFFFF"/>
            <w:vAlign w:val="bottom"/>
          </w:tcPr>
          <w:p>
            <w:pPr>
              <w:pStyle w:val="20"/>
              <w:spacing w:line="240" w:lineRule="auto"/>
              <w:ind w:firstLine="280"/>
              <w:rPr>
                <w:color w:val="auto"/>
              </w:rPr>
            </w:pPr>
            <w:r>
              <w:rPr>
                <w:color w:val="auto"/>
              </w:rPr>
              <w:t>五级分制成绩</w:t>
            </w:r>
          </w:p>
        </w:tc>
        <w:tc>
          <w:tcPr>
            <w:tcW w:w="1685" w:type="dxa"/>
            <w:tcBorders>
              <w:top w:val="single" w:color="auto" w:sz="4" w:space="0"/>
              <w:left w:val="single" w:color="auto" w:sz="4" w:space="0"/>
              <w:right w:val="single" w:color="auto" w:sz="4" w:space="0"/>
            </w:tcBorders>
            <w:shd w:val="clear" w:color="auto" w:fill="FFFFFF"/>
            <w:vAlign w:val="bottom"/>
          </w:tcPr>
          <w:p>
            <w:pPr>
              <w:pStyle w:val="20"/>
              <w:spacing w:line="240" w:lineRule="auto"/>
              <w:ind w:firstLine="0"/>
              <w:jc w:val="center"/>
              <w:rPr>
                <w:color w:val="auto"/>
              </w:rPr>
            </w:pPr>
            <w:r>
              <w:rPr>
                <w:color w:val="auto"/>
              </w:rPr>
              <w:t>绩点</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90-100</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5.0-6.0</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优秀</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5.0</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80-89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4.0-4.9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良好</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4.5</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70-79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3.0-3.9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中等</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3.5</w:t>
            </w:r>
          </w:p>
        </w:tc>
      </w:tr>
      <w:tr>
        <w:tblPrEx>
          <w:tblCellMar>
            <w:top w:w="0" w:type="dxa"/>
            <w:left w:w="10" w:type="dxa"/>
            <w:bottom w:w="0" w:type="dxa"/>
            <w:right w:w="10" w:type="dxa"/>
          </w:tblCellMar>
        </w:tblPrEx>
        <w:trPr>
          <w:trHeight w:val="350" w:hRule="exact"/>
          <w:jc w:val="center"/>
        </w:trPr>
        <w:tc>
          <w:tcPr>
            <w:tcW w:w="168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60-69</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0</w:t>
            </w:r>
          </w:p>
        </w:tc>
        <w:tc>
          <w:tcPr>
            <w:tcW w:w="167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及格</w:t>
            </w:r>
          </w:p>
        </w:tc>
        <w:tc>
          <w:tcPr>
            <w:tcW w:w="1685"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0</w:t>
            </w:r>
          </w:p>
        </w:tc>
      </w:tr>
      <w:tr>
        <w:tblPrEx>
          <w:tblCellMar>
            <w:top w:w="0" w:type="dxa"/>
            <w:left w:w="10" w:type="dxa"/>
            <w:bottom w:w="0" w:type="dxa"/>
            <w:right w:w="10" w:type="dxa"/>
          </w:tblCellMar>
        </w:tblPrEx>
        <w:trPr>
          <w:trHeight w:val="360" w:hRule="exact"/>
          <w:jc w:val="center"/>
        </w:trPr>
        <w:tc>
          <w:tcPr>
            <w:tcW w:w="168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lang w:val="en-US" w:eastAsia="en-US" w:bidi="en-US"/>
              </w:rPr>
              <w:t>0-59</w:t>
            </w:r>
          </w:p>
        </w:tc>
        <w:tc>
          <w:tcPr>
            <w:tcW w:w="167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0</w:t>
            </w:r>
          </w:p>
        </w:tc>
        <w:tc>
          <w:tcPr>
            <w:tcW w:w="167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rPr>
            </w:pPr>
            <w:r>
              <w:rPr>
                <w:color w:val="auto"/>
              </w:rPr>
              <w:t>不及格</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color w:val="auto"/>
                <w:sz w:val="17"/>
                <w:szCs w:val="17"/>
              </w:rPr>
              <w:t>0</w:t>
            </w:r>
          </w:p>
        </w:tc>
      </w:tr>
    </w:tbl>
    <w:p>
      <w:pPr>
        <w:pStyle w:val="14"/>
        <w:tabs>
          <w:tab w:val="left" w:pos="913"/>
        </w:tabs>
        <w:spacing w:line="300" w:lineRule="exact"/>
        <w:ind w:firstLine="420"/>
        <w:jc w:val="both"/>
        <w:rPr>
          <w:color w:val="auto"/>
        </w:rPr>
      </w:pPr>
      <w:bookmarkStart w:id="153" w:name="bookmark190"/>
      <w:r>
        <w:rPr>
          <w:color w:val="auto"/>
        </w:rPr>
        <w:t>二</w:t>
      </w:r>
      <w:bookmarkEnd w:id="153"/>
      <w:r>
        <w:rPr>
          <w:color w:val="auto"/>
        </w:rPr>
        <w:t>、</w:t>
      </w:r>
      <w:r>
        <w:rPr>
          <w:color w:val="auto"/>
        </w:rPr>
        <w:tab/>
      </w:r>
      <w:r>
        <w:rPr>
          <w:color w:val="auto"/>
        </w:rPr>
        <w:t>课程学分绩点</w:t>
      </w:r>
    </w:p>
    <w:p>
      <w:pPr>
        <w:pStyle w:val="14"/>
        <w:spacing w:line="300" w:lineRule="exact"/>
        <w:ind w:firstLine="420"/>
        <w:jc w:val="both"/>
        <w:rPr>
          <w:color w:val="auto"/>
        </w:rPr>
      </w:pPr>
      <w:r>
        <w:rPr>
          <w:color w:val="auto"/>
        </w:rPr>
        <w:t>课程学分绩点为课程学习质量的评价方式之一，是计算平均学分绩点的基本数据，其 计算方法为课程绩点乘以课程学分乘以权重系数，其中权重系数为根据各专业培养方案中课 程的难易度、重要性和学分数综合评定的系数。其计算公式如下：</w:t>
      </w:r>
    </w:p>
    <w:p>
      <w:pPr>
        <w:pStyle w:val="14"/>
        <w:spacing w:line="300" w:lineRule="exact"/>
        <w:ind w:firstLine="420"/>
        <w:rPr>
          <w:color w:val="auto"/>
        </w:rPr>
      </w:pPr>
      <w:r>
        <w:rPr>
          <w:color w:val="auto"/>
        </w:rPr>
        <w:t>课程学分绩点=课程绩点</w:t>
      </w:r>
      <w:r>
        <w:rPr>
          <w:rFonts w:ascii="Times New Roman" w:hAnsi="Times New Roman" w:eastAsia="Times New Roman" w:cs="Times New Roman"/>
          <w:color w:val="auto"/>
          <w:sz w:val="20"/>
          <w:szCs w:val="20"/>
        </w:rPr>
        <w:t>X</w:t>
      </w:r>
      <w:r>
        <w:rPr>
          <w:color w:val="auto"/>
        </w:rPr>
        <w:t>课程学分</w:t>
      </w:r>
      <w:r>
        <w:rPr>
          <w:rFonts w:ascii="Times New Roman" w:hAnsi="Times New Roman" w:eastAsia="Times New Roman" w:cs="Times New Roman"/>
          <w:color w:val="auto"/>
          <w:sz w:val="20"/>
          <w:szCs w:val="20"/>
        </w:rPr>
        <w:t>X</w:t>
      </w:r>
      <w:r>
        <w:rPr>
          <w:color w:val="auto"/>
        </w:rPr>
        <w:t>权重系数</w:t>
      </w:r>
    </w:p>
    <w:p>
      <w:pPr>
        <w:pStyle w:val="14"/>
        <w:tabs>
          <w:tab w:val="left" w:pos="913"/>
        </w:tabs>
        <w:spacing w:line="300" w:lineRule="exact"/>
        <w:ind w:firstLine="420"/>
        <w:jc w:val="both"/>
        <w:rPr>
          <w:color w:val="auto"/>
        </w:rPr>
      </w:pPr>
      <w:bookmarkStart w:id="154" w:name="bookmark191"/>
      <w:r>
        <w:rPr>
          <w:color w:val="auto"/>
        </w:rPr>
        <w:t>三</w:t>
      </w:r>
      <w:bookmarkEnd w:id="154"/>
      <w:r>
        <w:rPr>
          <w:color w:val="auto"/>
        </w:rPr>
        <w:t>、</w:t>
      </w:r>
      <w:r>
        <w:rPr>
          <w:color w:val="auto"/>
        </w:rPr>
        <w:tab/>
      </w:r>
      <w:r>
        <w:rPr>
          <w:color w:val="auto"/>
        </w:rPr>
        <w:t>平均学分绩点</w:t>
      </w:r>
    </w:p>
    <w:p>
      <w:pPr>
        <w:pStyle w:val="14"/>
        <w:spacing w:line="300" w:lineRule="exact"/>
        <w:ind w:firstLine="420"/>
        <w:jc w:val="both"/>
        <w:rPr>
          <w:color w:val="auto"/>
        </w:rPr>
      </w:pPr>
      <w:r>
        <w:rPr>
          <w:color w:val="auto"/>
        </w:rPr>
        <w:t>平均学分绩点为学生学习过程和最终质量的综合评价，其计算方法为所有已修课程（含经补考、重修后成绩仍不及格的课程）的课程学分绩点之和除以其课程学分之和，其中经补考、重修后成绩及格及以上的课程只计算其最高成绩对绩点，不重复计算。其计算公式如下:</w:t>
      </w:r>
      <w:bookmarkEnd w:id="118"/>
      <w:bookmarkEnd w:id="119"/>
      <w:bookmarkEnd w:id="120"/>
      <w:bookmarkStart w:id="155" w:name="bookmark150"/>
      <w:bookmarkEnd w:id="155"/>
    </w:p>
    <w:p>
      <w:pPr>
        <w:pStyle w:val="14"/>
        <w:spacing w:line="300" w:lineRule="exact"/>
        <w:rPr>
          <w:rFonts w:eastAsia="PMingLiU"/>
          <w:color w:val="auto"/>
        </w:rPr>
        <w:sectPr>
          <w:footerReference r:id="rId13" w:type="first"/>
          <w:footerReference r:id="rId11" w:type="default"/>
          <w:footerReference r:id="rId12" w:type="even"/>
          <w:pgSz w:w="9800" w:h="15120"/>
          <w:pgMar w:top="1043" w:right="652" w:bottom="987" w:left="663" w:header="0" w:footer="3" w:gutter="0"/>
          <w:pgNumType w:fmt="decimal"/>
          <w:cols w:space="720" w:num="1"/>
          <w:titlePg/>
          <w:docGrid w:linePitch="360" w:charSpace="0"/>
        </w:sectPr>
      </w:pPr>
      <w:r>
        <w:rPr>
          <w:color w:val="auto"/>
        </w:rPr>
        <w:t>平均学分绩点=</w:t>
      </w:r>
      <w:r>
        <w:rPr>
          <w:rFonts w:hint="eastAsia"/>
          <w:color w:val="auto"/>
        </w:rPr>
        <w:t>∑</w:t>
      </w:r>
      <w:r>
        <w:rPr>
          <w:color w:val="auto"/>
        </w:rPr>
        <w:t>课程学分绩点/</w:t>
      </w:r>
      <w:r>
        <w:rPr>
          <w:rFonts w:hint="eastAsia"/>
          <w:color w:val="auto"/>
        </w:rPr>
        <w:t>∑</w:t>
      </w:r>
      <w:r>
        <w:rPr>
          <w:color w:val="auto"/>
        </w:rPr>
        <w:t>课程学分（四舍五入保留一位小数</w:t>
      </w:r>
      <w:r>
        <w:rPr>
          <w:i/>
          <w:iCs/>
          <w:color w:val="auto"/>
        </w:rPr>
        <w:t>）</w:t>
      </w:r>
    </w:p>
    <w:p>
      <w:pPr>
        <w:pStyle w:val="12"/>
        <w:keepNext/>
        <w:keepLines/>
        <w:spacing w:before="760" w:after="480" w:line="590" w:lineRule="exact"/>
        <w:rPr>
          <w:color w:val="auto"/>
        </w:rPr>
      </w:pPr>
      <w:bookmarkStart w:id="156" w:name="bookmark193"/>
      <w:bookmarkStart w:id="157" w:name="bookmark194"/>
      <w:bookmarkStart w:id="158" w:name="bookmark192"/>
      <w:r>
        <w:rPr>
          <w:rFonts w:hint="eastAsia"/>
          <w:color w:val="auto"/>
        </w:rPr>
        <w:t>飞行技术专业学生学籍管理的补充规定</w:t>
      </w:r>
    </w:p>
    <w:p>
      <w:pPr>
        <w:pStyle w:val="18"/>
        <w:keepNext/>
        <w:keepLines/>
        <w:spacing w:after="320"/>
        <w:rPr>
          <w:color w:val="auto"/>
        </w:rPr>
      </w:pPr>
      <w:r>
        <w:rPr>
          <w:rFonts w:hint="eastAsia"/>
          <w:color w:val="auto"/>
        </w:rPr>
        <w:t>第一章总则</w:t>
      </w:r>
    </w:p>
    <w:p>
      <w:pPr>
        <w:pStyle w:val="14"/>
        <w:spacing w:after="360" w:line="299" w:lineRule="exact"/>
        <w:ind w:firstLine="442"/>
        <w:jc w:val="both"/>
        <w:rPr>
          <w:color w:val="auto"/>
        </w:rPr>
      </w:pPr>
      <w:r>
        <w:rPr>
          <w:rFonts w:hint="eastAsia"/>
          <w:b/>
          <w:bCs/>
          <w:color w:val="auto"/>
        </w:rPr>
        <w:t>第一条</w:t>
      </w:r>
      <w:r>
        <w:rPr>
          <w:rFonts w:hint="eastAsia"/>
          <w:color w:val="auto"/>
        </w:rPr>
        <w:t>根据中国民用航空局对飞行技术专业学生（以下简称“飞行学生”）的相关管理规定以及飞行技术专业有关规范，飞行学生在思想道德素质、专业素质和身心素质等方面均有特殊要求，为促进学生身心健康发展，保证教育教学质量，切实培养政治思想过硬、理论基础扎实、专业技术精湛、飞行作风优良的高素质飞行技术人才，依据《南京航空航天大学金城学院学生管理规定》、《南京航空航天大学金城学院本科生学籍管理办法》以及其他有关法律法规，结合我校飞行技术专业具体情况，特制订本规定。</w:t>
      </w:r>
    </w:p>
    <w:p>
      <w:pPr>
        <w:pStyle w:val="18"/>
        <w:keepNext/>
        <w:keepLines/>
        <w:spacing w:after="320"/>
        <w:rPr>
          <w:color w:val="auto"/>
        </w:rPr>
      </w:pPr>
      <w:r>
        <w:rPr>
          <w:rFonts w:hint="eastAsia"/>
          <w:color w:val="auto"/>
        </w:rPr>
        <w:t>第二章入学与注册</w:t>
      </w:r>
    </w:p>
    <w:p>
      <w:pPr>
        <w:pStyle w:val="14"/>
        <w:spacing w:line="299" w:lineRule="exact"/>
        <w:ind w:firstLine="440"/>
        <w:jc w:val="both"/>
        <w:rPr>
          <w:color w:val="auto"/>
        </w:rPr>
      </w:pPr>
      <w:r>
        <w:rPr>
          <w:rFonts w:hint="eastAsia"/>
          <w:b/>
          <w:bCs/>
          <w:color w:val="auto"/>
        </w:rPr>
        <w:t>第二条</w:t>
      </w:r>
      <w:r>
        <w:rPr>
          <w:rFonts w:hint="eastAsia"/>
          <w:color w:val="auto"/>
        </w:rPr>
        <w:t>按照国家招收飞行学生有关规定录取的新生，应按规定办理入学手续。未能按时报到者，视为放弃入学资格。</w:t>
      </w:r>
    </w:p>
    <w:p>
      <w:pPr>
        <w:pStyle w:val="14"/>
        <w:spacing w:line="299" w:lineRule="exact"/>
        <w:ind w:firstLine="440"/>
        <w:jc w:val="both"/>
        <w:rPr>
          <w:color w:val="auto"/>
        </w:rPr>
      </w:pPr>
      <w:r>
        <w:rPr>
          <w:rFonts w:hint="eastAsia"/>
          <w:b/>
          <w:bCs/>
          <w:color w:val="auto"/>
        </w:rPr>
        <w:t>第三条</w:t>
      </w:r>
      <w:r>
        <w:rPr>
          <w:rFonts w:hint="eastAsia"/>
          <w:color w:val="auto"/>
        </w:rPr>
        <w:t>新生入学后，学校在三个月内按照国家招收飞行学生规定组织对其入学资格进行复查。复查合格者予以注册，取得学籍。</w:t>
      </w:r>
    </w:p>
    <w:p>
      <w:pPr>
        <w:pStyle w:val="14"/>
        <w:spacing w:line="299" w:lineRule="exact"/>
        <w:ind w:firstLine="440"/>
        <w:jc w:val="both"/>
        <w:rPr>
          <w:color w:val="auto"/>
        </w:rPr>
      </w:pPr>
      <w:r>
        <w:rPr>
          <w:rFonts w:hint="eastAsia"/>
          <w:b/>
          <w:bCs/>
          <w:color w:val="auto"/>
        </w:rPr>
        <w:t>第四条</w:t>
      </w:r>
      <w:r>
        <w:rPr>
          <w:rFonts w:hint="eastAsia"/>
          <w:color w:val="auto"/>
        </w:rPr>
        <w:t>新生入学复查不合格，经认定属于自被录取至入学复查期间本人相关条件发生变化所致，按照第四章规定予以处理。</w:t>
      </w:r>
    </w:p>
    <w:p>
      <w:pPr>
        <w:pStyle w:val="14"/>
        <w:spacing w:after="360" w:line="299" w:lineRule="exact"/>
        <w:ind w:firstLine="442"/>
        <w:jc w:val="both"/>
        <w:rPr>
          <w:color w:val="auto"/>
        </w:rPr>
      </w:pPr>
      <w:r>
        <w:rPr>
          <w:rFonts w:hint="eastAsia"/>
          <w:b/>
          <w:bCs/>
          <w:color w:val="auto"/>
        </w:rPr>
        <w:t>第五条</w:t>
      </w:r>
      <w:r>
        <w:rPr>
          <w:rFonts w:hint="eastAsia"/>
          <w:color w:val="auto"/>
        </w:rPr>
        <w:t>凡属违反国家招生规定，或在招收飞行学生体检、背景调查过程中弄虚作假、徇私舞弊者，无论何时被发现，一经查实，已取得学籍者取消其学籍，未取得学籍者不予注册学籍。</w:t>
      </w:r>
    </w:p>
    <w:p>
      <w:pPr>
        <w:pStyle w:val="18"/>
        <w:keepNext/>
        <w:keepLines/>
        <w:spacing w:after="320"/>
        <w:rPr>
          <w:color w:val="auto"/>
        </w:rPr>
      </w:pPr>
      <w:r>
        <w:rPr>
          <w:rFonts w:hint="eastAsia"/>
          <w:color w:val="auto"/>
        </w:rPr>
        <w:t>第三章课程学习与考试</w:t>
      </w:r>
    </w:p>
    <w:p>
      <w:pPr>
        <w:pStyle w:val="14"/>
        <w:spacing w:line="299" w:lineRule="exact"/>
        <w:ind w:firstLine="440"/>
        <w:jc w:val="both"/>
        <w:rPr>
          <w:color w:val="auto"/>
        </w:rPr>
      </w:pPr>
      <w:r>
        <w:rPr>
          <w:rFonts w:hint="eastAsia"/>
          <w:b/>
          <w:bCs/>
          <w:color w:val="auto"/>
        </w:rPr>
        <w:t>第六条</w:t>
      </w:r>
      <w:r>
        <w:rPr>
          <w:rFonts w:hint="eastAsia"/>
          <w:color w:val="auto"/>
        </w:rPr>
        <w:t>飞行技术专业整体教学进程分为理论学习和飞行训练两个阶段。在进入飞行训练阶段前，飞行学生须按专业培养方案修完理论学习阶段应修课程并获得相应学分。</w:t>
      </w:r>
    </w:p>
    <w:p>
      <w:pPr>
        <w:pStyle w:val="14"/>
        <w:spacing w:line="299" w:lineRule="exact"/>
        <w:ind w:firstLine="440"/>
        <w:jc w:val="both"/>
        <w:rPr>
          <w:color w:val="auto"/>
        </w:rPr>
      </w:pPr>
      <w:r>
        <w:rPr>
          <w:rFonts w:hint="eastAsia"/>
          <w:b/>
          <w:bCs/>
          <w:color w:val="auto"/>
        </w:rPr>
        <w:t>第七条</w:t>
      </w:r>
      <w:r>
        <w:rPr>
          <w:rFonts w:hint="eastAsia"/>
          <w:color w:val="auto"/>
        </w:rPr>
        <w:t>飞行学生在飞行训练期间的课程考试与成绩记载根据承训的飞行训练机构的相关标准执行。</w:t>
      </w:r>
    </w:p>
    <w:p>
      <w:pPr>
        <w:pStyle w:val="14"/>
        <w:spacing w:after="360" w:line="299" w:lineRule="exact"/>
        <w:ind w:firstLine="442"/>
        <w:jc w:val="both"/>
        <w:rPr>
          <w:color w:val="auto"/>
        </w:rPr>
      </w:pPr>
      <w:r>
        <w:rPr>
          <w:rFonts w:hint="eastAsia"/>
          <w:b/>
          <w:bCs/>
          <w:color w:val="auto"/>
        </w:rPr>
        <w:t>第八条</w:t>
      </w:r>
      <w:r>
        <w:rPr>
          <w:rFonts w:hint="eastAsia"/>
          <w:color w:val="auto"/>
        </w:rPr>
        <w:t>飞行技术专业学制为四年，不得延长学习年限或休学。学生应在规定学习年限内，修满专业培养方案规定的课程学分数，完成飞行训练，取得规定的飞行执照，完成毕业设计，达到学校毕业要求，方可毕业。</w:t>
      </w:r>
    </w:p>
    <w:p>
      <w:pPr>
        <w:pStyle w:val="18"/>
        <w:keepNext/>
        <w:keepLines/>
        <w:spacing w:after="320"/>
        <w:rPr>
          <w:color w:val="auto"/>
        </w:rPr>
      </w:pPr>
      <w:r>
        <w:rPr>
          <w:rFonts w:hint="eastAsia"/>
          <w:color w:val="auto"/>
        </w:rPr>
        <w:t>第四章考核与学籍处理</w:t>
      </w:r>
    </w:p>
    <w:p>
      <w:pPr>
        <w:pStyle w:val="14"/>
        <w:spacing w:line="299" w:lineRule="exact"/>
        <w:ind w:firstLine="440"/>
        <w:jc w:val="both"/>
        <w:rPr>
          <w:color w:val="auto"/>
        </w:rPr>
      </w:pPr>
      <w:r>
        <w:rPr>
          <w:rFonts w:hint="eastAsia"/>
          <w:b/>
          <w:bCs/>
          <w:color w:val="auto"/>
        </w:rPr>
        <w:t>第九条</w:t>
      </w:r>
      <w:r>
        <w:rPr>
          <w:rFonts w:hint="eastAsia"/>
          <w:color w:val="auto"/>
        </w:rPr>
        <w:t>学生应遵守学校各项规章制度和《飞行技术学生准军事化管理规定》。学校按规定对学生进行年度考核和专项考核，有下列情况之一者，属于考核不合格：</w:t>
      </w:r>
    </w:p>
    <w:p>
      <w:pPr>
        <w:pStyle w:val="14"/>
        <w:spacing w:line="299" w:lineRule="exact"/>
        <w:ind w:firstLine="440"/>
        <w:jc w:val="both"/>
        <w:rPr>
          <w:rFonts w:eastAsia="PMingLiU"/>
          <w:color w:val="auto"/>
        </w:rPr>
      </w:pPr>
      <w:r>
        <w:rPr>
          <w:rFonts w:hint="eastAsia"/>
          <w:color w:val="auto"/>
        </w:rPr>
        <w:t>（一）新生入学复查不合格；</w:t>
      </w:r>
    </w:p>
    <w:p>
      <w:pPr>
        <w:pStyle w:val="14"/>
        <w:spacing w:line="299" w:lineRule="exact"/>
        <w:ind w:firstLine="440"/>
        <w:jc w:val="both"/>
        <w:rPr>
          <w:color w:val="auto"/>
        </w:rPr>
      </w:pPr>
      <w:r>
        <w:rPr>
          <w:rFonts w:hint="eastAsia"/>
          <w:color w:val="auto"/>
        </w:rPr>
        <w:t>（二）按《飞行技术学生准军事化管理规定》考核不合格；</w:t>
      </w:r>
    </w:p>
    <w:p>
      <w:pPr>
        <w:pStyle w:val="14"/>
        <w:spacing w:line="299" w:lineRule="exact"/>
        <w:ind w:firstLine="440"/>
        <w:jc w:val="both"/>
        <w:rPr>
          <w:color w:val="auto"/>
        </w:rPr>
      </w:pPr>
      <w:r>
        <w:rPr>
          <w:rFonts w:hint="eastAsia"/>
          <w:color w:val="auto"/>
        </w:rPr>
        <w:t>（三）在该年级进入飞行训练阶段前，未按专业培养方案修完理论学习阶段应修课程并获得相应学分；</w:t>
      </w:r>
    </w:p>
    <w:p>
      <w:pPr>
        <w:pStyle w:val="14"/>
        <w:spacing w:line="299" w:lineRule="exact"/>
        <w:ind w:firstLine="440"/>
        <w:jc w:val="both"/>
        <w:rPr>
          <w:color w:val="auto"/>
        </w:rPr>
      </w:pPr>
      <w:r>
        <w:rPr>
          <w:rFonts w:hint="eastAsia"/>
          <w:color w:val="auto"/>
        </w:rPr>
        <w:t>（四）未通过飞行训练机构的选拔考核；</w:t>
      </w:r>
    </w:p>
    <w:p>
      <w:pPr>
        <w:pStyle w:val="14"/>
        <w:spacing w:line="299" w:lineRule="exact"/>
        <w:ind w:firstLine="440"/>
        <w:jc w:val="both"/>
        <w:rPr>
          <w:color w:val="auto"/>
        </w:rPr>
      </w:pPr>
      <w:r>
        <w:rPr>
          <w:rFonts w:hint="eastAsia"/>
          <w:color w:val="auto"/>
        </w:rPr>
        <w:t>（五）委托培养单位综合考查不合格；</w:t>
      </w:r>
    </w:p>
    <w:p>
      <w:pPr>
        <w:pStyle w:val="14"/>
        <w:spacing w:line="299" w:lineRule="exact"/>
        <w:ind w:firstLine="440"/>
        <w:jc w:val="both"/>
        <w:rPr>
          <w:color w:val="auto"/>
        </w:rPr>
      </w:pPr>
      <w:r>
        <w:rPr>
          <w:rFonts w:hint="eastAsia"/>
          <w:color w:val="auto"/>
        </w:rPr>
        <w:t>（六）在校理论学习阶段因身体原因等不再适合从事飞行技术专业学习；</w:t>
      </w:r>
    </w:p>
    <w:p>
      <w:pPr>
        <w:pStyle w:val="14"/>
        <w:spacing w:line="299" w:lineRule="exact"/>
        <w:ind w:firstLine="440"/>
        <w:jc w:val="both"/>
        <w:rPr>
          <w:color w:val="auto"/>
        </w:rPr>
      </w:pPr>
      <w:r>
        <w:rPr>
          <w:rFonts w:hint="eastAsia"/>
          <w:color w:val="auto"/>
        </w:rPr>
        <w:t>（七）在飞行训练阶段因身体原因、技术原因等无法完成飞行训练。</w:t>
      </w:r>
    </w:p>
    <w:p>
      <w:pPr>
        <w:pStyle w:val="14"/>
        <w:spacing w:line="299" w:lineRule="exact"/>
        <w:ind w:firstLine="440"/>
        <w:jc w:val="both"/>
        <w:rPr>
          <w:color w:val="auto"/>
        </w:rPr>
      </w:pPr>
      <w:r>
        <w:rPr>
          <w:rFonts w:hint="eastAsia"/>
          <w:b/>
          <w:bCs/>
          <w:color w:val="auto"/>
        </w:rPr>
        <w:t>第十条</w:t>
      </w:r>
      <w:r>
        <w:rPr>
          <w:rFonts w:hint="eastAsia"/>
          <w:color w:val="auto"/>
        </w:rPr>
        <w:t>考核不合格的学生可申请转入航空运输与工程学院相关专业，按照以下方案安排学习。</w:t>
      </w:r>
    </w:p>
    <w:p>
      <w:pPr>
        <w:pStyle w:val="14"/>
        <w:spacing w:line="299" w:lineRule="exact"/>
        <w:ind w:firstLine="440"/>
        <w:jc w:val="both"/>
        <w:rPr>
          <w:color w:val="auto"/>
        </w:rPr>
      </w:pPr>
      <w:r>
        <w:rPr>
          <w:rFonts w:hint="eastAsia"/>
          <w:color w:val="auto"/>
        </w:rPr>
        <w:t>（一）大一大二阶段，因理论学习成绩考核不合格终止培养的学生，转入低一年级相关专业；因其他原因终止培养的学生，转入同一年级相关专业；</w:t>
      </w:r>
    </w:p>
    <w:p>
      <w:pPr>
        <w:pStyle w:val="14"/>
        <w:spacing w:line="299" w:lineRule="exact"/>
        <w:ind w:firstLine="440"/>
        <w:jc w:val="both"/>
        <w:rPr>
          <w:color w:val="auto"/>
        </w:rPr>
      </w:pPr>
      <w:r>
        <w:rPr>
          <w:rFonts w:hint="eastAsia"/>
          <w:color w:val="auto"/>
        </w:rPr>
        <w:t>（二）大三大四阶段，因理论学习成绩考核不合格终止培养的学生，转入低一年级相关专业；因其他原因终止培养的学生，转入大三年级相关专业；</w:t>
      </w:r>
    </w:p>
    <w:p>
      <w:pPr>
        <w:pStyle w:val="14"/>
        <w:spacing w:line="299" w:lineRule="exact"/>
        <w:ind w:firstLine="440"/>
        <w:jc w:val="both"/>
        <w:rPr>
          <w:color w:val="auto"/>
        </w:rPr>
      </w:pPr>
      <w:r>
        <w:rPr>
          <w:rFonts w:hint="eastAsia"/>
          <w:color w:val="auto"/>
        </w:rPr>
        <w:t>（三）学生须修满转入专业培养方案规定的学分方可毕业，总修业年限不得超过六年。</w:t>
      </w:r>
    </w:p>
    <w:p>
      <w:pPr>
        <w:pStyle w:val="14"/>
        <w:spacing w:after="360" w:line="299" w:lineRule="exact"/>
        <w:ind w:firstLine="442"/>
        <w:jc w:val="both"/>
        <w:rPr>
          <w:color w:val="auto"/>
        </w:rPr>
      </w:pPr>
      <w:r>
        <w:rPr>
          <w:rFonts w:hint="eastAsia"/>
          <w:b/>
          <w:bCs/>
          <w:color w:val="auto"/>
        </w:rPr>
        <w:t>第十一条</w:t>
      </w:r>
      <w:r>
        <w:rPr>
          <w:rFonts w:hint="eastAsia"/>
          <w:color w:val="auto"/>
        </w:rPr>
        <w:t>学院对飞行学生学籍处理情况进行认定并提出处理意见，填写《南京航空航天大学金城学院飞行技术专业学生学籍处理表》，确定修读年级，报学校批准后，学生须在</w:t>
      </w:r>
      <w:r>
        <w:rPr>
          <w:rFonts w:hint="eastAsia" w:ascii="Times New Roman" w:hAnsi="Times New Roman"/>
          <w:color w:val="auto"/>
          <w:sz w:val="20"/>
        </w:rPr>
        <w:t>45</w:t>
      </w:r>
      <w:r>
        <w:rPr>
          <w:rFonts w:hint="eastAsia"/>
          <w:color w:val="auto"/>
        </w:rPr>
        <w:t>天内办理转专业手续，否则取消转专业机会，按自动退学处理。</w:t>
      </w:r>
    </w:p>
    <w:p>
      <w:pPr>
        <w:pStyle w:val="18"/>
        <w:keepNext/>
        <w:keepLines/>
        <w:spacing w:after="320"/>
        <w:rPr>
          <w:color w:val="auto"/>
        </w:rPr>
      </w:pPr>
      <w:r>
        <w:rPr>
          <w:rFonts w:hint="eastAsia"/>
          <w:color w:val="auto"/>
        </w:rPr>
        <w:t>第五章附则</w:t>
      </w:r>
    </w:p>
    <w:p>
      <w:pPr>
        <w:pStyle w:val="14"/>
        <w:spacing w:line="299" w:lineRule="exact"/>
        <w:ind w:firstLine="440"/>
        <w:jc w:val="both"/>
        <w:rPr>
          <w:color w:val="auto"/>
        </w:rPr>
      </w:pPr>
      <w:r>
        <w:rPr>
          <w:rFonts w:hint="eastAsia"/>
          <w:color w:val="auto"/>
        </w:rPr>
        <w:t>第十二条本规定适用于</w:t>
      </w:r>
      <w:r>
        <w:rPr>
          <w:rFonts w:hint="eastAsia" w:ascii="Times New Roman" w:hAnsi="Times New Roman"/>
          <w:color w:val="auto"/>
          <w:sz w:val="20"/>
        </w:rPr>
        <w:t>2018</w:t>
      </w:r>
      <w:r>
        <w:rPr>
          <w:rFonts w:hint="eastAsia"/>
          <w:color w:val="auto"/>
        </w:rPr>
        <w:t>年起入学的飞行技术专业学生。</w:t>
      </w:r>
    </w:p>
    <w:p>
      <w:pPr>
        <w:pStyle w:val="14"/>
        <w:spacing w:line="299" w:lineRule="exact"/>
        <w:ind w:firstLine="440"/>
        <w:jc w:val="both"/>
        <w:rPr>
          <w:color w:val="auto"/>
        </w:rPr>
      </w:pPr>
      <w:r>
        <w:rPr>
          <w:rFonts w:hint="eastAsia"/>
          <w:color w:val="auto"/>
        </w:rPr>
        <w:t>第十三条教学科研处负责本规定解释。</w:t>
      </w:r>
    </w:p>
    <w:p>
      <w:pPr>
        <w:rPr>
          <w:rFonts w:ascii="宋体" w:hAnsi="宋体"/>
          <w:color w:val="auto"/>
          <w:sz w:val="18"/>
          <w:lang w:val="zh-TW" w:eastAsia="zh-TW" w:bidi="zh-TW"/>
        </w:rPr>
      </w:pPr>
      <w:r>
        <w:rPr>
          <w:color w:val="auto"/>
          <w:lang w:eastAsia="zh-CN"/>
        </w:rPr>
        <w:br w:type="page"/>
      </w:r>
    </w:p>
    <w:bookmarkEnd w:id="156"/>
    <w:bookmarkEnd w:id="157"/>
    <w:bookmarkEnd w:id="158"/>
    <w:p>
      <w:pPr>
        <w:pStyle w:val="12"/>
        <w:keepNext/>
        <w:keepLines/>
        <w:spacing w:before="1000" w:after="260" w:line="600" w:lineRule="exact"/>
        <w:rPr>
          <w:color w:val="auto"/>
          <w:highlight w:val="none"/>
        </w:rPr>
      </w:pPr>
      <w:bookmarkStart w:id="159" w:name="bookmark196"/>
      <w:bookmarkStart w:id="160" w:name="bookmark197"/>
      <w:bookmarkStart w:id="161" w:name="bookmark195"/>
      <w:r>
        <w:rPr>
          <w:color w:val="auto"/>
          <w:highlight w:val="none"/>
        </w:rPr>
        <w:t>南京航空航天大学金城学院</w:t>
      </w:r>
      <w:r>
        <w:rPr>
          <w:color w:val="auto"/>
          <w:highlight w:val="none"/>
        </w:rPr>
        <w:br w:type="textWrapping"/>
      </w:r>
      <w:r>
        <w:rPr>
          <w:color w:val="auto"/>
          <w:highlight w:val="none"/>
        </w:rPr>
        <w:t>学分制收费管理暂行办法</w:t>
      </w:r>
    </w:p>
    <w:p>
      <w:pPr>
        <w:pStyle w:val="18"/>
        <w:keepNext/>
        <w:keepLines/>
        <w:spacing w:after="320"/>
        <w:rPr>
          <w:color w:val="auto"/>
        </w:rPr>
      </w:pPr>
      <w:r>
        <w:rPr>
          <w:color w:val="auto"/>
        </w:rPr>
        <w:t>第一章总则</w:t>
      </w:r>
      <w:bookmarkEnd w:id="159"/>
      <w:bookmarkEnd w:id="160"/>
      <w:bookmarkEnd w:id="161"/>
    </w:p>
    <w:p>
      <w:pPr>
        <w:pStyle w:val="14"/>
        <w:spacing w:line="299" w:lineRule="exact"/>
        <w:ind w:firstLine="440"/>
        <w:jc w:val="both"/>
        <w:rPr>
          <w:color w:val="auto"/>
        </w:rPr>
      </w:pPr>
      <w:r>
        <w:rPr>
          <w:b/>
          <w:bCs/>
          <w:color w:val="auto"/>
        </w:rPr>
        <w:t>第一条</w:t>
      </w:r>
      <w:r>
        <w:rPr>
          <w:color w:val="auto"/>
        </w:rPr>
        <w:t>为了适应学校学分制教学管理改革的需要，进一步完善学分制管理，根据省物价局（苏价费【</w:t>
      </w:r>
      <w:r>
        <w:rPr>
          <w:rFonts w:ascii="Times New Roman" w:hAnsi="Times New Roman" w:eastAsia="Times New Roman" w:cs="Times New Roman"/>
          <w:color w:val="auto"/>
          <w:sz w:val="20"/>
          <w:szCs w:val="20"/>
          <w:lang w:val="en-US" w:eastAsia="zh-CN" w:bidi="en-US"/>
        </w:rPr>
        <w:t>2013</w:t>
      </w:r>
      <w:r>
        <w:rPr>
          <w:rFonts w:hint="eastAsia"/>
          <w:color w:val="auto"/>
          <w:sz w:val="20"/>
          <w:szCs w:val="20"/>
          <w:lang w:val="en-US" w:eastAsia="zh-CN" w:bidi="en-US"/>
        </w:rPr>
        <w:t>】</w:t>
      </w:r>
      <w:r>
        <w:rPr>
          <w:rFonts w:ascii="Times New Roman" w:hAnsi="Times New Roman" w:eastAsia="Times New Roman" w:cs="Times New Roman"/>
          <w:color w:val="auto"/>
          <w:sz w:val="20"/>
          <w:szCs w:val="20"/>
        </w:rPr>
        <w:t>154</w:t>
      </w:r>
      <w:r>
        <w:rPr>
          <w:color w:val="auto"/>
        </w:rPr>
        <w:t>号）文件精神，结合学校的实际情况，特制定本暂行办法。</w:t>
      </w:r>
    </w:p>
    <w:p>
      <w:pPr>
        <w:pStyle w:val="14"/>
        <w:spacing w:after="360" w:line="299" w:lineRule="exact"/>
        <w:ind w:firstLine="440"/>
        <w:jc w:val="both"/>
        <w:rPr>
          <w:color w:val="auto"/>
        </w:rPr>
      </w:pPr>
      <w:r>
        <w:rPr>
          <w:b/>
          <w:bCs/>
          <w:color w:val="auto"/>
        </w:rPr>
        <w:t>第二条</w:t>
      </w:r>
      <w:r>
        <w:rPr>
          <w:color w:val="auto"/>
        </w:rPr>
        <w:t>学分制学籍管理制度，是以学生修读课程的学分数作为衡量和计算学生学习量的基本单位，学生以取得所在专业培养计划规定总学分作为其毕业的主要标准的教学管理制度。</w:t>
      </w:r>
    </w:p>
    <w:p>
      <w:pPr>
        <w:pStyle w:val="18"/>
        <w:keepNext/>
        <w:keepLines/>
        <w:spacing w:after="360"/>
        <w:rPr>
          <w:color w:val="auto"/>
        </w:rPr>
      </w:pPr>
      <w:bookmarkStart w:id="162" w:name="bookmark198"/>
      <w:bookmarkStart w:id="163" w:name="bookmark199"/>
      <w:bookmarkStart w:id="164" w:name="bookmark200"/>
      <w:r>
        <w:rPr>
          <w:color w:val="auto"/>
        </w:rPr>
        <w:t>第二章收费标准</w:t>
      </w:r>
      <w:bookmarkEnd w:id="162"/>
      <w:bookmarkEnd w:id="163"/>
      <w:bookmarkEnd w:id="164"/>
    </w:p>
    <w:p>
      <w:pPr>
        <w:pStyle w:val="14"/>
        <w:spacing w:line="264" w:lineRule="exact"/>
        <w:ind w:firstLine="440"/>
        <w:jc w:val="both"/>
        <w:rPr>
          <w:color w:val="auto"/>
        </w:rPr>
      </w:pPr>
      <w:r>
        <w:rPr>
          <w:b/>
          <w:bCs/>
          <w:color w:val="auto"/>
        </w:rPr>
        <w:t>第三条</w:t>
      </w:r>
      <w:r>
        <w:rPr>
          <w:color w:val="auto"/>
        </w:rPr>
        <w:t>学分制收费是指按学生修读的学分数计收学费的教育收费管理制度，学费由学分学费和专业学费两部分组成。</w:t>
      </w:r>
    </w:p>
    <w:p>
      <w:pPr>
        <w:pStyle w:val="14"/>
        <w:spacing w:line="305" w:lineRule="exact"/>
        <w:ind w:firstLine="440"/>
        <w:jc w:val="both"/>
        <w:rPr>
          <w:color w:val="auto"/>
        </w:rPr>
      </w:pPr>
      <w:r>
        <w:rPr>
          <w:b/>
          <w:bCs/>
          <w:color w:val="auto"/>
        </w:rPr>
        <w:t>第四条</w:t>
      </w:r>
      <w:r>
        <w:rPr>
          <w:color w:val="auto"/>
        </w:rPr>
        <w:t>结合我校本科生专业培养方案及年均教育培养成本，每学分学费标准为</w:t>
      </w:r>
      <w:r>
        <w:rPr>
          <w:rFonts w:ascii="Times New Roman" w:hAnsi="Times New Roman" w:eastAsia="Times New Roman" w:cs="Times New Roman"/>
          <w:color w:val="auto"/>
          <w:sz w:val="20"/>
          <w:szCs w:val="20"/>
        </w:rPr>
        <w:t>160</w:t>
      </w:r>
      <w:r>
        <w:rPr>
          <w:color w:val="auto"/>
        </w:rPr>
        <w:t>元，每学年专业学费为标准学制的学年学费总和减去基准学分的学分学费，再除以专业标准学制。</w:t>
      </w:r>
    </w:p>
    <w:p>
      <w:pPr>
        <w:pStyle w:val="14"/>
        <w:spacing w:line="305" w:lineRule="exact"/>
        <w:ind w:firstLine="440"/>
        <w:jc w:val="both"/>
        <w:rPr>
          <w:color w:val="auto"/>
        </w:rPr>
      </w:pPr>
      <w:r>
        <w:rPr>
          <w:b/>
          <w:bCs/>
          <w:color w:val="auto"/>
        </w:rPr>
        <w:t>第五条</w:t>
      </w:r>
      <w:r>
        <w:rPr>
          <w:color w:val="auto"/>
        </w:rPr>
        <w:t>专业培养方案规定的毕业最低学分超出基准学分的，超出部分免收学分学费。</w:t>
      </w:r>
    </w:p>
    <w:p>
      <w:pPr>
        <w:pStyle w:val="14"/>
        <w:spacing w:line="302" w:lineRule="exact"/>
        <w:ind w:firstLine="440"/>
        <w:jc w:val="both"/>
        <w:rPr>
          <w:color w:val="auto"/>
        </w:rPr>
      </w:pPr>
      <w:r>
        <w:rPr>
          <w:b/>
          <w:bCs/>
          <w:color w:val="auto"/>
        </w:rPr>
        <w:t>第六条</w:t>
      </w:r>
      <w:r>
        <w:rPr>
          <w:color w:val="auto"/>
        </w:rPr>
        <w:t>学生在校期间选修课程学分超过本专业培养方案规定的最低学分部分的课程</w:t>
      </w:r>
      <w:r>
        <w:rPr>
          <w:rFonts w:hint="eastAsia"/>
          <w:color w:val="auto"/>
        </w:rPr>
        <w:t>，</w:t>
      </w:r>
      <w:r>
        <w:rPr>
          <w:color w:val="auto"/>
        </w:rPr>
        <w:t>按标准缴纳学分学费。</w:t>
      </w:r>
    </w:p>
    <w:p>
      <w:pPr>
        <w:pStyle w:val="14"/>
        <w:spacing w:line="302" w:lineRule="exact"/>
        <w:ind w:firstLine="440"/>
        <w:jc w:val="both"/>
        <w:rPr>
          <w:color w:val="auto"/>
        </w:rPr>
      </w:pPr>
      <w:r>
        <w:rPr>
          <w:b/>
          <w:bCs/>
          <w:color w:val="auto"/>
        </w:rPr>
        <w:t>第七条</w:t>
      </w:r>
      <w:r>
        <w:rPr>
          <w:color w:val="auto"/>
        </w:rPr>
        <w:t>学生经考试免修课程，按该课程学分学费标准的</w:t>
      </w:r>
      <w:r>
        <w:rPr>
          <w:rFonts w:ascii="Times New Roman" w:hAnsi="Times New Roman" w:eastAsia="Times New Roman" w:cs="Times New Roman"/>
          <w:color w:val="auto"/>
          <w:sz w:val="20"/>
          <w:szCs w:val="20"/>
        </w:rPr>
        <w:t>1/2</w:t>
      </w:r>
      <w:r>
        <w:rPr>
          <w:color w:val="auto"/>
        </w:rPr>
        <w:t>收取（即按每学分</w:t>
      </w:r>
      <w:r>
        <w:rPr>
          <w:rFonts w:ascii="Times New Roman" w:hAnsi="Times New Roman" w:eastAsia="Times New Roman" w:cs="Times New Roman"/>
          <w:color w:val="auto"/>
          <w:sz w:val="20"/>
          <w:szCs w:val="20"/>
        </w:rPr>
        <w:t>80</w:t>
      </w:r>
      <w:r>
        <w:rPr>
          <w:color w:val="auto"/>
        </w:rPr>
        <w:t>元收取课程免修学分学费）。</w:t>
      </w:r>
    </w:p>
    <w:p>
      <w:pPr>
        <w:pStyle w:val="14"/>
        <w:spacing w:line="302" w:lineRule="exact"/>
        <w:ind w:firstLine="440"/>
        <w:jc w:val="both"/>
        <w:rPr>
          <w:color w:val="auto"/>
        </w:rPr>
      </w:pPr>
      <w:r>
        <w:rPr>
          <w:b/>
          <w:bCs/>
          <w:color w:val="auto"/>
        </w:rPr>
        <w:t>第八条</w:t>
      </w:r>
      <w:r>
        <w:rPr>
          <w:color w:val="auto"/>
        </w:rPr>
        <w:t>学生首修课程考试不及格而不能取得相应学分者，给予一次免费补考机会；对补考后仍不及格、需重新学习该门课程的学生应缴费重修，按该课程学分收费标准的</w:t>
      </w:r>
      <w:r>
        <w:rPr>
          <w:rFonts w:ascii="Times New Roman" w:hAnsi="Times New Roman" w:eastAsia="Times New Roman" w:cs="Times New Roman"/>
          <w:color w:val="auto"/>
          <w:sz w:val="20"/>
          <w:szCs w:val="20"/>
        </w:rPr>
        <w:t>1/2</w:t>
      </w:r>
      <w:r>
        <w:rPr>
          <w:color w:val="auto"/>
        </w:rPr>
        <w:t>收取，即按每学分</w:t>
      </w:r>
      <w:r>
        <w:rPr>
          <w:rFonts w:ascii="Times New Roman" w:hAnsi="Times New Roman" w:eastAsia="Times New Roman" w:cs="Times New Roman"/>
          <w:color w:val="auto"/>
          <w:sz w:val="20"/>
          <w:szCs w:val="20"/>
        </w:rPr>
        <w:t>80</w:t>
      </w:r>
      <w:r>
        <w:rPr>
          <w:color w:val="auto"/>
        </w:rPr>
        <w:t>元收取课程重修费。</w:t>
      </w:r>
    </w:p>
    <w:p>
      <w:pPr>
        <w:pStyle w:val="14"/>
        <w:spacing w:line="302" w:lineRule="exact"/>
        <w:ind w:firstLine="440"/>
        <w:jc w:val="both"/>
        <w:rPr>
          <w:color w:val="auto"/>
        </w:rPr>
      </w:pPr>
      <w:r>
        <w:rPr>
          <w:b/>
          <w:bCs/>
          <w:color w:val="auto"/>
        </w:rPr>
        <w:t>第九条</w:t>
      </w:r>
      <w:r>
        <w:rPr>
          <w:color w:val="auto"/>
        </w:rPr>
        <w:t>经批准需延长学习年限的学生，在校首修课程按学分收费标准收取学分学费，重修课程学分学费仍按</w:t>
      </w:r>
      <w:r>
        <w:rPr>
          <w:rFonts w:ascii="Times New Roman" w:hAnsi="Times New Roman" w:eastAsia="Times New Roman" w:cs="Times New Roman"/>
          <w:color w:val="auto"/>
          <w:sz w:val="20"/>
          <w:szCs w:val="20"/>
        </w:rPr>
        <w:t>1/2</w:t>
      </w:r>
      <w:r>
        <w:rPr>
          <w:color w:val="auto"/>
        </w:rPr>
        <w:t>收取（即按每学分</w:t>
      </w:r>
      <w:r>
        <w:rPr>
          <w:rFonts w:ascii="Times New Roman" w:hAnsi="Times New Roman" w:eastAsia="Times New Roman" w:cs="Times New Roman"/>
          <w:color w:val="auto"/>
          <w:sz w:val="20"/>
          <w:szCs w:val="20"/>
        </w:rPr>
        <w:t>80</w:t>
      </w:r>
      <w:r>
        <w:rPr>
          <w:color w:val="auto"/>
        </w:rPr>
        <w:t>元收取课程重修费），已按标准学制年限缴纳了专业学费的，不再收取专业学费。</w:t>
      </w:r>
    </w:p>
    <w:p>
      <w:pPr>
        <w:pStyle w:val="14"/>
        <w:spacing w:line="302" w:lineRule="exact"/>
        <w:ind w:firstLine="440"/>
        <w:jc w:val="both"/>
        <w:rPr>
          <w:color w:val="auto"/>
        </w:rPr>
      </w:pPr>
      <w:r>
        <w:rPr>
          <w:b/>
          <w:bCs/>
          <w:color w:val="auto"/>
        </w:rPr>
        <w:t>第十条</w:t>
      </w:r>
      <w:r>
        <w:rPr>
          <w:color w:val="auto"/>
        </w:rPr>
        <w:t>学生已结业需换证考试，按课程学分收费标准收取，即每学分</w:t>
      </w:r>
      <w:r>
        <w:rPr>
          <w:rFonts w:ascii="Times New Roman" w:hAnsi="Times New Roman" w:eastAsia="Times New Roman" w:cs="Times New Roman"/>
          <w:color w:val="auto"/>
          <w:sz w:val="20"/>
          <w:szCs w:val="20"/>
        </w:rPr>
        <w:t>160</w:t>
      </w:r>
      <w:r>
        <w:rPr>
          <w:color w:val="auto"/>
        </w:rPr>
        <w:t>元。</w:t>
      </w:r>
    </w:p>
    <w:p>
      <w:pPr>
        <w:pStyle w:val="14"/>
        <w:spacing w:line="302" w:lineRule="exact"/>
        <w:ind w:firstLine="440"/>
        <w:jc w:val="both"/>
        <w:rPr>
          <w:color w:val="auto"/>
        </w:rPr>
      </w:pPr>
      <w:r>
        <w:rPr>
          <w:b/>
          <w:bCs/>
          <w:color w:val="auto"/>
        </w:rPr>
        <w:t>第十一条</w:t>
      </w:r>
      <w:r>
        <w:rPr>
          <w:color w:val="auto"/>
        </w:rPr>
        <w:t>学生提前修满学分毕业的，不再收取与该专业标准学制差额年份的专业学费（可以半年计）。</w:t>
      </w:r>
    </w:p>
    <w:p>
      <w:pPr>
        <w:pStyle w:val="14"/>
        <w:spacing w:line="302" w:lineRule="exact"/>
        <w:ind w:firstLine="440"/>
        <w:jc w:val="both"/>
        <w:rPr>
          <w:color w:val="auto"/>
        </w:rPr>
      </w:pPr>
      <w:r>
        <w:rPr>
          <w:b/>
          <w:bCs/>
          <w:color w:val="auto"/>
        </w:rPr>
        <w:t>第十二条</w:t>
      </w:r>
      <w:r>
        <w:rPr>
          <w:color w:val="auto"/>
        </w:rPr>
        <w:t>学生在校就读期间转专业、转学，按转入专业的专业学费标准计收专业学费</w:t>
      </w:r>
      <w:r>
        <w:rPr>
          <w:rFonts w:hint="eastAsia"/>
          <w:color w:val="auto"/>
        </w:rPr>
        <w:t>；</w:t>
      </w:r>
      <w:r>
        <w:rPr>
          <w:color w:val="auto"/>
        </w:rPr>
        <w:t>同时，学生还须按转入专业的学分收费标准缴纳学分学费。</w:t>
      </w:r>
    </w:p>
    <w:p>
      <w:pPr>
        <w:pStyle w:val="18"/>
        <w:keepNext/>
        <w:keepLines/>
        <w:rPr>
          <w:color w:val="auto"/>
        </w:rPr>
      </w:pPr>
      <w:bookmarkStart w:id="165" w:name="bookmark202"/>
      <w:bookmarkStart w:id="166" w:name="bookmark203"/>
      <w:bookmarkStart w:id="167" w:name="bookmark201"/>
      <w:r>
        <w:rPr>
          <w:color w:val="auto"/>
        </w:rPr>
        <w:t>第三章退费规定</w:t>
      </w:r>
      <w:bookmarkEnd w:id="165"/>
      <w:bookmarkEnd w:id="166"/>
      <w:bookmarkEnd w:id="167"/>
    </w:p>
    <w:p>
      <w:pPr>
        <w:pStyle w:val="14"/>
        <w:spacing w:line="305" w:lineRule="exact"/>
        <w:ind w:firstLine="420"/>
        <w:jc w:val="both"/>
        <w:rPr>
          <w:color w:val="auto"/>
        </w:rPr>
      </w:pPr>
      <w:r>
        <w:rPr>
          <w:b/>
          <w:bCs/>
          <w:color w:val="auto"/>
        </w:rPr>
        <w:t>第十三条</w:t>
      </w:r>
      <w:r>
        <w:rPr>
          <w:color w:val="auto"/>
        </w:rPr>
        <w:t>学生每学期选定修读课程后，学校给学生</w:t>
      </w:r>
      <w:r>
        <w:rPr>
          <w:rFonts w:ascii="Times New Roman" w:hAnsi="Times New Roman" w:eastAsia="Times New Roman" w:cs="Times New Roman"/>
          <w:color w:val="auto"/>
          <w:sz w:val="20"/>
          <w:szCs w:val="20"/>
        </w:rPr>
        <w:t>2</w:t>
      </w:r>
      <w:r>
        <w:rPr>
          <w:color w:val="auto"/>
        </w:rPr>
        <w:t>周试修时间，在试修期间学生因各种原因退选课程，免收退选课程的学分学费；就学时间在课程课时一半以内的（含）</w:t>
      </w:r>
      <w:r>
        <w:rPr>
          <w:rFonts w:hint="eastAsia"/>
          <w:color w:val="auto"/>
        </w:rPr>
        <w:t>，</w:t>
      </w:r>
      <w:r>
        <w:rPr>
          <w:color w:val="auto"/>
        </w:rPr>
        <w:t>免收退选课程</w:t>
      </w:r>
      <w:r>
        <w:rPr>
          <w:rFonts w:ascii="Times New Roman" w:hAnsi="Times New Roman" w:eastAsia="Times New Roman" w:cs="Times New Roman"/>
          <w:color w:val="auto"/>
          <w:sz w:val="20"/>
          <w:szCs w:val="20"/>
        </w:rPr>
        <w:t>50%</w:t>
      </w:r>
      <w:r>
        <w:rPr>
          <w:color w:val="auto"/>
        </w:rPr>
        <w:t>的学分学费；超过一半的，全额收取退选课程的学分学费。</w:t>
      </w:r>
    </w:p>
    <w:p>
      <w:pPr>
        <w:pStyle w:val="14"/>
        <w:spacing w:line="305" w:lineRule="exact"/>
        <w:ind w:firstLine="420"/>
        <w:jc w:val="both"/>
        <w:rPr>
          <w:color w:val="auto"/>
        </w:rPr>
      </w:pPr>
      <w:r>
        <w:rPr>
          <w:b/>
          <w:bCs/>
          <w:color w:val="auto"/>
        </w:rPr>
        <w:t>第十四条</w:t>
      </w:r>
      <w:r>
        <w:rPr>
          <w:color w:val="auto"/>
        </w:rPr>
        <w:t>学生退学、转学等终止学业，在学年第一学期开学一个月内（含）批准的</w:t>
      </w:r>
      <w:r>
        <w:rPr>
          <w:rFonts w:hint="eastAsia"/>
          <w:color w:val="auto"/>
        </w:rPr>
        <w:t>，</w:t>
      </w:r>
      <w:r>
        <w:rPr>
          <w:color w:val="auto"/>
        </w:rPr>
        <w:t>全额退还其专业学费；超过一个月不足一学期的（含）退还</w:t>
      </w:r>
      <w:r>
        <w:rPr>
          <w:rFonts w:ascii="Times New Roman" w:hAnsi="Times New Roman" w:eastAsia="Times New Roman" w:cs="Times New Roman"/>
          <w:color w:val="auto"/>
          <w:sz w:val="20"/>
          <w:szCs w:val="20"/>
        </w:rPr>
        <w:t>50%</w:t>
      </w:r>
      <w:r>
        <w:rPr>
          <w:color w:val="auto"/>
        </w:rPr>
        <w:t>的专业费。第二学期内批准的不退专业学费。</w:t>
      </w:r>
    </w:p>
    <w:p>
      <w:pPr>
        <w:pStyle w:val="14"/>
        <w:spacing w:after="380" w:line="305" w:lineRule="exact"/>
        <w:ind w:firstLine="420"/>
        <w:jc w:val="both"/>
        <w:rPr>
          <w:color w:val="auto"/>
        </w:rPr>
      </w:pPr>
      <w:r>
        <w:rPr>
          <w:b/>
          <w:bCs/>
          <w:color w:val="auto"/>
        </w:rPr>
        <w:t>第十五条</w:t>
      </w:r>
      <w:r>
        <w:rPr>
          <w:color w:val="auto"/>
        </w:rPr>
        <w:t>学生休学期间相关费用参照《学杂费收缴管理规定》执行。</w:t>
      </w:r>
    </w:p>
    <w:p>
      <w:pPr>
        <w:pStyle w:val="18"/>
        <w:keepNext/>
        <w:keepLines/>
        <w:rPr>
          <w:color w:val="auto"/>
        </w:rPr>
      </w:pPr>
      <w:bookmarkStart w:id="168" w:name="bookmark206"/>
      <w:bookmarkStart w:id="169" w:name="bookmark204"/>
      <w:bookmarkStart w:id="170" w:name="bookmark205"/>
      <w:r>
        <w:rPr>
          <w:color w:val="auto"/>
        </w:rPr>
        <w:t>第四章收费管理</w:t>
      </w:r>
      <w:bookmarkEnd w:id="168"/>
      <w:bookmarkEnd w:id="169"/>
      <w:bookmarkEnd w:id="170"/>
    </w:p>
    <w:p>
      <w:pPr>
        <w:pStyle w:val="14"/>
        <w:spacing w:line="299" w:lineRule="exact"/>
        <w:ind w:firstLine="420"/>
        <w:jc w:val="both"/>
        <w:rPr>
          <w:color w:val="auto"/>
        </w:rPr>
      </w:pPr>
      <w:r>
        <w:rPr>
          <w:b/>
          <w:bCs/>
          <w:color w:val="auto"/>
        </w:rPr>
        <w:t>第十六</w:t>
      </w:r>
      <w:r>
        <w:rPr>
          <w:color w:val="auto"/>
        </w:rPr>
        <w:t>条学校按学生当年实际所修课程的学分数收取学费。新生入学第一学年按所学专业学年收费标准预收学费，</w:t>
      </w:r>
      <w:r>
        <w:rPr>
          <w:color w:val="auto"/>
          <w:lang w:val="zh-CN" w:eastAsia="zh-CN" w:bidi="zh-CN"/>
        </w:rPr>
        <w:t>在下一</w:t>
      </w:r>
      <w:r>
        <w:rPr>
          <w:color w:val="auto"/>
        </w:rPr>
        <w:t>学年开学时，根据学生上一学年实际所修的学分，按多退少补的原则进行学费结算。</w:t>
      </w:r>
    </w:p>
    <w:p>
      <w:pPr>
        <w:pStyle w:val="14"/>
        <w:spacing w:line="299" w:lineRule="exact"/>
        <w:ind w:firstLine="420"/>
        <w:jc w:val="both"/>
        <w:rPr>
          <w:color w:val="auto"/>
        </w:rPr>
      </w:pPr>
      <w:r>
        <w:rPr>
          <w:color w:val="auto"/>
        </w:rPr>
        <w:t>新批准招生专业或遇学费收费标准调整，按物价部门核准执行。</w:t>
      </w:r>
    </w:p>
    <w:p>
      <w:pPr>
        <w:pStyle w:val="14"/>
        <w:spacing w:line="299" w:lineRule="exact"/>
        <w:ind w:firstLine="420"/>
        <w:jc w:val="center"/>
        <w:rPr>
          <w:b/>
          <w:color w:val="auto"/>
          <w:sz w:val="22"/>
          <w:szCs w:val="22"/>
          <w:lang w:bidi="ar"/>
        </w:rPr>
      </w:pPr>
    </w:p>
    <w:p>
      <w:pPr>
        <w:pStyle w:val="14"/>
        <w:spacing w:line="299" w:lineRule="exact"/>
        <w:ind w:firstLine="420"/>
        <w:jc w:val="both"/>
        <w:rPr>
          <w:color w:val="auto"/>
        </w:rPr>
      </w:pPr>
      <w:r>
        <w:rPr>
          <w:b/>
          <w:bCs/>
          <w:color w:val="auto"/>
        </w:rPr>
        <w:t>第十七条</w:t>
      </w:r>
      <w:r>
        <w:rPr>
          <w:color w:val="auto"/>
        </w:rPr>
        <w:t>新生在入学报到时按规定标准预缴学费；在校生于每学年开学注册前缴清学费；凡未经学校同意，不在规定时间内缴纳学费的学生，将不予办理注册手续。</w:t>
      </w:r>
    </w:p>
    <w:p>
      <w:pPr>
        <w:pStyle w:val="14"/>
        <w:spacing w:line="299" w:lineRule="exact"/>
        <w:ind w:firstLine="420"/>
        <w:jc w:val="both"/>
        <w:rPr>
          <w:color w:val="auto"/>
        </w:rPr>
      </w:pPr>
      <w:r>
        <w:rPr>
          <w:b/>
          <w:bCs/>
          <w:color w:val="auto"/>
        </w:rPr>
        <w:t>第十八条</w:t>
      </w:r>
      <w:r>
        <w:rPr>
          <w:color w:val="auto"/>
        </w:rPr>
        <w:t>学生毕业离校（包括结业、肄业）时，学校按学生个人清算所收学费，退还学生结余的学费，收缴学生不足的学费；学生结清学费后，方可办理离校手续。</w:t>
      </w:r>
    </w:p>
    <w:p>
      <w:pPr>
        <w:pStyle w:val="14"/>
        <w:spacing w:after="380" w:line="299" w:lineRule="exact"/>
        <w:ind w:firstLine="420"/>
        <w:jc w:val="both"/>
        <w:rPr>
          <w:color w:val="auto"/>
        </w:rPr>
      </w:pPr>
      <w:r>
        <w:rPr>
          <w:b/>
          <w:bCs/>
          <w:color w:val="auto"/>
        </w:rPr>
        <w:t>第十九条</w:t>
      </w:r>
      <w:r>
        <w:rPr>
          <w:color w:val="auto"/>
        </w:rPr>
        <w:t>保留入学资格的学生，在保留入学资格期间暂不交费。</w:t>
      </w:r>
    </w:p>
    <w:p>
      <w:pPr>
        <w:pStyle w:val="18"/>
        <w:keepNext/>
        <w:keepLines/>
        <w:rPr>
          <w:color w:val="auto"/>
        </w:rPr>
      </w:pPr>
      <w:bookmarkStart w:id="171" w:name="bookmark209"/>
      <w:bookmarkStart w:id="172" w:name="bookmark207"/>
      <w:bookmarkStart w:id="173" w:name="bookmark208"/>
      <w:r>
        <w:rPr>
          <w:color w:val="auto"/>
        </w:rPr>
        <w:t>第五章附则</w:t>
      </w:r>
      <w:bookmarkEnd w:id="171"/>
      <w:bookmarkEnd w:id="172"/>
      <w:bookmarkEnd w:id="173"/>
    </w:p>
    <w:p>
      <w:pPr>
        <w:pStyle w:val="14"/>
        <w:spacing w:line="322" w:lineRule="exact"/>
        <w:ind w:firstLine="420"/>
        <w:jc w:val="both"/>
        <w:rPr>
          <w:color w:val="auto"/>
        </w:rPr>
      </w:pPr>
      <w:r>
        <w:rPr>
          <w:b/>
          <w:bCs/>
          <w:color w:val="auto"/>
        </w:rPr>
        <w:t>第二十条</w:t>
      </w:r>
      <w:r>
        <w:rPr>
          <w:color w:val="auto"/>
        </w:rPr>
        <w:t>本办法自</w:t>
      </w:r>
      <w:r>
        <w:rPr>
          <w:rFonts w:ascii="Times New Roman" w:hAnsi="Times New Roman" w:eastAsia="Times New Roman" w:cs="Times New Roman"/>
          <w:color w:val="auto"/>
          <w:sz w:val="20"/>
          <w:szCs w:val="20"/>
        </w:rPr>
        <w:t>2013</w:t>
      </w:r>
      <w:r>
        <w:rPr>
          <w:color w:val="auto"/>
        </w:rPr>
        <w:t>年秋季新学期起实施，适用于</w:t>
      </w:r>
      <w:r>
        <w:rPr>
          <w:rFonts w:ascii="Times New Roman" w:hAnsi="Times New Roman" w:eastAsia="Times New Roman" w:cs="Times New Roman"/>
          <w:color w:val="auto"/>
          <w:sz w:val="20"/>
          <w:szCs w:val="20"/>
        </w:rPr>
        <w:t>2013</w:t>
      </w:r>
      <w:r>
        <w:rPr>
          <w:color w:val="auto"/>
        </w:rPr>
        <w:t>年秋季及以后入学的在籍本科生。</w:t>
      </w:r>
    </w:p>
    <w:p>
      <w:pPr>
        <w:pStyle w:val="14"/>
        <w:spacing w:after="300" w:line="302" w:lineRule="exact"/>
        <w:ind w:firstLine="420"/>
        <w:jc w:val="both"/>
        <w:rPr>
          <w:color w:val="auto"/>
        </w:rPr>
      </w:pPr>
      <w:r>
        <w:rPr>
          <w:b/>
          <w:bCs/>
          <w:color w:val="auto"/>
        </w:rPr>
        <w:t>第二十一条</w:t>
      </w:r>
      <w:r>
        <w:rPr>
          <w:color w:val="auto"/>
        </w:rPr>
        <w:t>本办法由财务处、教学科研处在各自职责范围内负责解释。</w:t>
      </w:r>
    </w:p>
    <w:tbl>
      <w:tblPr>
        <w:tblStyle w:val="7"/>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82"/>
        <w:gridCol w:w="2217"/>
        <w:gridCol w:w="1062"/>
        <w:gridCol w:w="725"/>
        <w:gridCol w:w="713"/>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42" w:type="dxa"/>
            <w:gridSpan w:val="7"/>
            <w:vAlign w:val="center"/>
          </w:tcPr>
          <w:p>
            <w:pPr>
              <w:pStyle w:val="14"/>
              <w:spacing w:line="299" w:lineRule="exact"/>
              <w:ind w:firstLine="420" w:firstLineChars="0"/>
              <w:jc w:val="center"/>
              <w:rPr>
                <w:color w:val="auto"/>
                <w:sz w:val="22"/>
                <w:szCs w:val="22"/>
                <w:lang w:bidi="en-US"/>
              </w:rPr>
            </w:pPr>
            <w:r>
              <w:rPr>
                <w:rFonts w:hint="eastAsia"/>
                <w:b/>
                <w:sz w:val="28"/>
                <w:szCs w:val="28"/>
                <w:lang w:bidi="ar"/>
              </w:rPr>
              <w:t>202</w:t>
            </w:r>
            <w:r>
              <w:rPr>
                <w:rFonts w:eastAsia="PMingLiU"/>
                <w:b/>
                <w:sz w:val="28"/>
                <w:szCs w:val="28"/>
                <w:lang w:bidi="ar"/>
              </w:rPr>
              <w:t>2</w:t>
            </w:r>
            <w:r>
              <w:rPr>
                <w:rFonts w:hint="eastAsia"/>
                <w:b/>
                <w:sz w:val="28"/>
                <w:szCs w:val="28"/>
                <w:lang w:bidi="ar"/>
              </w:rPr>
              <w:t>级本科各专业学分制收费标准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序号</w:t>
            </w:r>
          </w:p>
        </w:tc>
        <w:tc>
          <w:tcPr>
            <w:tcW w:w="208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学院</w:t>
            </w: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专业名称</w:t>
            </w:r>
          </w:p>
        </w:tc>
        <w:tc>
          <w:tcPr>
            <w:tcW w:w="1062" w:type="dxa"/>
            <w:vAlign w:val="center"/>
          </w:tcPr>
          <w:p>
            <w:pPr>
              <w:widowControl/>
              <w:jc w:val="center"/>
              <w:textAlignment w:val="center"/>
              <w:rPr>
                <w:rFonts w:ascii="宋体" w:hAnsi="宋体"/>
                <w:sz w:val="18"/>
                <w:lang w:bidi="ar"/>
              </w:rPr>
            </w:pPr>
            <w:r>
              <w:rPr>
                <w:rFonts w:hint="eastAsia" w:ascii="宋体" w:hAnsi="宋体"/>
                <w:sz w:val="18"/>
                <w:lang w:bidi="ar"/>
              </w:rPr>
              <w:t>毕业要求</w:t>
            </w:r>
          </w:p>
          <w:p>
            <w:pPr>
              <w:widowControl/>
              <w:jc w:val="center"/>
              <w:textAlignment w:val="center"/>
              <w:rPr>
                <w:rFonts w:ascii="宋体" w:hAnsi="宋体"/>
                <w:color w:val="auto"/>
                <w:sz w:val="18"/>
                <w:lang w:val="zh-TW" w:eastAsia="zh-TW"/>
              </w:rPr>
            </w:pPr>
            <w:r>
              <w:rPr>
                <w:rFonts w:hint="eastAsia" w:ascii="宋体" w:hAnsi="宋体"/>
                <w:sz w:val="18"/>
                <w:lang w:bidi="ar"/>
              </w:rPr>
              <w:t>总学分</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专业学费</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学分学费</w:t>
            </w:r>
          </w:p>
        </w:tc>
        <w:tc>
          <w:tcPr>
            <w:tcW w:w="887" w:type="dxa"/>
            <w:vAlign w:val="center"/>
          </w:tcPr>
          <w:p>
            <w:pPr>
              <w:widowControl/>
              <w:jc w:val="center"/>
              <w:textAlignment w:val="center"/>
              <w:rPr>
                <w:rFonts w:ascii="宋体" w:hAnsi="宋体"/>
                <w:sz w:val="18"/>
                <w:lang w:bidi="ar"/>
              </w:rPr>
            </w:pPr>
            <w:r>
              <w:rPr>
                <w:rFonts w:hint="eastAsia" w:ascii="宋体" w:hAnsi="宋体"/>
                <w:sz w:val="18"/>
                <w:lang w:bidi="ar"/>
              </w:rPr>
              <w:t>总</w:t>
            </w:r>
          </w:p>
          <w:p>
            <w:pPr>
              <w:widowControl/>
              <w:jc w:val="center"/>
              <w:textAlignment w:val="center"/>
              <w:rPr>
                <w:rFonts w:ascii="宋体" w:hAnsi="宋体"/>
                <w:color w:val="auto"/>
                <w:sz w:val="18"/>
                <w:lang w:val="zh-TW" w:eastAsia="zh-TW"/>
              </w:rPr>
            </w:pPr>
            <w:r>
              <w:rPr>
                <w:rFonts w:hint="eastAsia" w:ascii="宋体" w:hAnsi="宋体"/>
                <w:sz w:val="18"/>
                <w:lang w:bidi="ar"/>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w:t>
            </w:r>
          </w:p>
        </w:tc>
        <w:tc>
          <w:tcPr>
            <w:tcW w:w="2082" w:type="dxa"/>
            <w:vMerge w:val="restart"/>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机电工程与自动化学院</w:t>
            </w: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机械电子工程</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车辆工程</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车辆工程（3+4）</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4</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电气工程及其自动化</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5</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自动化</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物联网工程</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7</w:t>
            </w:r>
          </w:p>
        </w:tc>
        <w:tc>
          <w:tcPr>
            <w:tcW w:w="2082" w:type="dxa"/>
            <w:vMerge w:val="restart"/>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信息工程学院</w:t>
            </w: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信息工程</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8</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信息工程（嵌入式培养）</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40800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9</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计算机科学与技术</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10</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sz w:val="18"/>
                <w:lang w:bidi="ar"/>
              </w:rPr>
            </w:pPr>
            <w:r>
              <w:rPr>
                <w:rFonts w:hint="eastAsia" w:ascii="宋体" w:hAnsi="宋体"/>
                <w:sz w:val="18"/>
                <w:lang w:bidi="ar"/>
              </w:rPr>
              <w:t>计算机科学与技术</w:t>
            </w:r>
          </w:p>
          <w:p>
            <w:pPr>
              <w:widowControl/>
              <w:jc w:val="center"/>
              <w:textAlignment w:val="center"/>
              <w:rPr>
                <w:rFonts w:ascii="宋体" w:hAnsi="宋体"/>
                <w:color w:val="auto"/>
                <w:sz w:val="18"/>
                <w:lang w:val="zh-TW" w:eastAsia="zh-TW"/>
              </w:rPr>
            </w:pPr>
            <w:r>
              <w:rPr>
                <w:rFonts w:hint="eastAsia" w:ascii="宋体" w:hAnsi="宋体"/>
                <w:sz w:val="18"/>
                <w:lang w:bidi="ar"/>
              </w:rPr>
              <w:t>（嵌入式培养）</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40800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11</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软件工程</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12</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软件工程（嵌入式培养）</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40800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13</w:t>
            </w:r>
          </w:p>
        </w:tc>
        <w:tc>
          <w:tcPr>
            <w:tcW w:w="2082" w:type="dxa"/>
            <w:vMerge w:val="restart"/>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航空运输与工程学院</w:t>
            </w: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工商管理</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160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30400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14</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交通运输（民航电子电气工程）</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15</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飞行技术</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16</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航空服务艺术与管理</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160</w:t>
            </w:r>
          </w:p>
        </w:tc>
        <w:tc>
          <w:tcPr>
            <w:tcW w:w="725" w:type="dxa"/>
            <w:vAlign w:val="center"/>
          </w:tcPr>
          <w:p>
            <w:pPr>
              <w:widowControl/>
              <w:jc w:val="center"/>
              <w:textAlignment w:val="center"/>
              <w:rPr>
                <w:rFonts w:ascii="宋体" w:hAnsi="宋体"/>
                <w:color w:val="auto"/>
                <w:sz w:val="18"/>
                <w:lang w:eastAsia="zh-CN"/>
              </w:rPr>
            </w:pPr>
            <w:r>
              <w:rPr>
                <w:rFonts w:hint="eastAsia" w:ascii="宋体" w:hAnsi="宋体"/>
                <w:sz w:val="18"/>
              </w:rPr>
              <w:t>40400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航空服务艺术与管理（3+4）</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rPr>
              <w:t>40400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rPr>
              <w:t>25600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18</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土木工程</w:t>
            </w:r>
          </w:p>
        </w:tc>
        <w:tc>
          <w:tcPr>
            <w:tcW w:w="1062"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lang w:val="zh-TW" w:eastAsia="zh-TW"/>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19</w:t>
            </w:r>
          </w:p>
        </w:tc>
        <w:tc>
          <w:tcPr>
            <w:tcW w:w="2082" w:type="dxa"/>
            <w:vMerge w:val="continue"/>
            <w:vAlign w:val="top"/>
          </w:tcPr>
          <w:p>
            <w:pPr>
              <w:jc w:val="both"/>
              <w:rPr>
                <w:rFonts w:ascii="宋体" w:hAnsi="宋体"/>
                <w:color w:val="auto"/>
                <w:sz w:val="18"/>
                <w:lang w:val="zh-TW" w:eastAsia="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飞行器制造工程</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20</w:t>
            </w:r>
          </w:p>
        </w:tc>
        <w:tc>
          <w:tcPr>
            <w:tcW w:w="2082" w:type="dxa"/>
            <w:vMerge w:val="restart"/>
            <w:vAlign w:val="center"/>
          </w:tcPr>
          <w:p>
            <w:pPr>
              <w:widowControl/>
              <w:jc w:val="center"/>
              <w:textAlignment w:val="center"/>
              <w:rPr>
                <w:rFonts w:ascii="宋体" w:hAnsi="宋体"/>
                <w:color w:val="auto"/>
                <w:sz w:val="18"/>
                <w:lang w:val="zh-TW" w:eastAsia="zh-TW" w:bidi="zh-TW"/>
              </w:rPr>
            </w:pPr>
            <w:r>
              <w:rPr>
                <w:rFonts w:hint="eastAsia" w:ascii="宋体" w:hAnsi="宋体"/>
                <w:sz w:val="18"/>
                <w:lang w:bidi="ar"/>
              </w:rPr>
              <w:t>国际商学院</w:t>
            </w: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英语</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30400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21</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翻译</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30400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22</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国际经济与贸易</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30400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23</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会计学</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30400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24</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会计学（CIMA）</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30400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25</w:t>
            </w:r>
          </w:p>
        </w:tc>
        <w:tc>
          <w:tcPr>
            <w:tcW w:w="2082" w:type="dxa"/>
            <w:vMerge w:val="continue"/>
            <w:vAlign w:val="top"/>
          </w:tcPr>
          <w:p>
            <w:pPr>
              <w:jc w:val="both"/>
              <w:rPr>
                <w:rFonts w:ascii="宋体" w:hAnsi="宋体"/>
                <w:color w:val="auto"/>
                <w:sz w:val="18"/>
                <w:lang w:val="zh-TW" w:eastAsia="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金融学</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30400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26</w:t>
            </w:r>
          </w:p>
        </w:tc>
        <w:tc>
          <w:tcPr>
            <w:tcW w:w="2082" w:type="dxa"/>
            <w:vMerge w:val="restart"/>
            <w:vAlign w:val="center"/>
          </w:tcPr>
          <w:p>
            <w:pPr>
              <w:widowControl/>
              <w:jc w:val="center"/>
              <w:textAlignment w:val="center"/>
              <w:rPr>
                <w:rFonts w:ascii="宋体" w:hAnsi="宋体"/>
                <w:color w:val="auto"/>
                <w:sz w:val="18"/>
                <w:lang w:val="zh-TW" w:eastAsia="zh-TW" w:bidi="zh-TW"/>
              </w:rPr>
            </w:pPr>
            <w:r>
              <w:rPr>
                <w:rFonts w:hint="eastAsia" w:ascii="宋体" w:hAnsi="宋体"/>
                <w:sz w:val="18"/>
                <w:lang w:bidi="ar"/>
              </w:rPr>
              <w:t>艺术与传媒学院</w:t>
            </w: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视觉传达设计</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rPr>
              <w:t>40400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27</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工业设计</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170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32800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27200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28</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产品设计</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40400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29</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播音与主持艺术</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40400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30</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环境设计</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40400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31</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数字媒体艺术</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40400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32</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音乐表演</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40400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33</w:t>
            </w:r>
          </w:p>
        </w:tc>
        <w:tc>
          <w:tcPr>
            <w:tcW w:w="2082" w:type="dxa"/>
            <w:vMerge w:val="continue"/>
            <w:vAlign w:val="top"/>
          </w:tcPr>
          <w:p>
            <w:pPr>
              <w:jc w:val="both"/>
              <w:rPr>
                <w:rFonts w:ascii="宋体" w:hAnsi="宋体"/>
                <w:color w:val="auto"/>
                <w:sz w:val="18"/>
                <w:lang w:val="zh-TW" w:eastAsia="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广播电视编导</w:t>
            </w:r>
          </w:p>
        </w:tc>
        <w:tc>
          <w:tcPr>
            <w:tcW w:w="1062" w:type="dxa"/>
            <w:vAlign w:val="center"/>
          </w:tcPr>
          <w:p>
            <w:pPr>
              <w:widowControl/>
              <w:jc w:val="center"/>
              <w:textAlignment w:val="center"/>
              <w:rPr>
                <w:rFonts w:ascii="宋体" w:hAnsi="宋体"/>
                <w:color w:val="auto"/>
                <w:sz w:val="18"/>
              </w:rPr>
            </w:pPr>
            <w:r>
              <w:rPr>
                <w:rFonts w:hint="eastAsia" w:ascii="宋体" w:hAnsi="宋体"/>
                <w:sz w:val="18"/>
              </w:rPr>
              <w:t>160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40400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25600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34</w:t>
            </w:r>
          </w:p>
        </w:tc>
        <w:tc>
          <w:tcPr>
            <w:tcW w:w="2082" w:type="dxa"/>
            <w:vMerge w:val="restart"/>
            <w:vAlign w:val="center"/>
          </w:tcPr>
          <w:p>
            <w:pPr>
              <w:widowControl/>
              <w:jc w:val="center"/>
              <w:textAlignment w:val="center"/>
              <w:rPr>
                <w:rFonts w:ascii="宋体" w:hAnsi="宋体"/>
                <w:sz w:val="18"/>
                <w:lang w:bidi="ar"/>
              </w:rPr>
            </w:pPr>
            <w:r>
              <w:rPr>
                <w:rFonts w:hint="eastAsia" w:ascii="宋体" w:hAnsi="宋体"/>
                <w:sz w:val="18"/>
                <w:lang w:bidi="ar"/>
              </w:rPr>
              <w:t>机电工程与自动化学院</w:t>
            </w:r>
          </w:p>
          <w:p>
            <w:pPr>
              <w:widowControl/>
              <w:jc w:val="center"/>
              <w:textAlignment w:val="center"/>
              <w:rPr>
                <w:rFonts w:ascii="宋体" w:hAnsi="宋体"/>
                <w:color w:val="auto"/>
                <w:sz w:val="18"/>
                <w:lang w:val="zh-TW" w:eastAsia="zh-TW" w:bidi="zh-TW"/>
              </w:rPr>
            </w:pPr>
            <w:r>
              <w:rPr>
                <w:rFonts w:hint="eastAsia" w:ascii="宋体" w:hAnsi="宋体"/>
                <w:sz w:val="18"/>
                <w:lang w:bidi="ar"/>
              </w:rPr>
              <w:t>（专转本）</w:t>
            </w: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机械工程</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90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15600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14400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35</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车辆工程</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90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15600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14400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36</w:t>
            </w:r>
          </w:p>
        </w:tc>
        <w:tc>
          <w:tcPr>
            <w:tcW w:w="2082" w:type="dxa"/>
            <w:vMerge w:val="continue"/>
            <w:vAlign w:val="top"/>
          </w:tcPr>
          <w:p>
            <w:pPr>
              <w:jc w:val="both"/>
              <w:rPr>
                <w:rFonts w:ascii="宋体" w:hAnsi="宋体"/>
                <w:color w:val="auto"/>
                <w:sz w:val="18"/>
                <w:lang w:val="zh-TW" w:eastAsia="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自动化</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90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15600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14400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37</w:t>
            </w:r>
          </w:p>
        </w:tc>
        <w:tc>
          <w:tcPr>
            <w:tcW w:w="2082" w:type="dxa"/>
            <w:vMerge w:val="continue"/>
            <w:vAlign w:val="top"/>
          </w:tcPr>
          <w:p>
            <w:pPr>
              <w:jc w:val="both"/>
              <w:rPr>
                <w:rFonts w:ascii="宋体" w:hAnsi="宋体"/>
                <w:color w:val="auto"/>
                <w:sz w:val="18"/>
                <w:lang w:val="zh-TW" w:eastAsia="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汽车服务工程</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9</w:t>
            </w:r>
            <w:r>
              <w:rPr>
                <w:rFonts w:ascii="宋体" w:hAnsi="宋体"/>
                <w:sz w:val="18"/>
                <w:lang w:bidi="ar"/>
              </w:rPr>
              <w:t>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15600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14400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38</w:t>
            </w:r>
          </w:p>
        </w:tc>
        <w:tc>
          <w:tcPr>
            <w:tcW w:w="2082" w:type="dxa"/>
            <w:vMerge w:val="continue"/>
            <w:vAlign w:val="top"/>
          </w:tcPr>
          <w:p>
            <w:pPr>
              <w:jc w:val="both"/>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电子信息工程</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9</w:t>
            </w:r>
            <w:r>
              <w:rPr>
                <w:rFonts w:ascii="宋体" w:hAnsi="宋体"/>
                <w:sz w:val="18"/>
                <w:lang w:bidi="ar"/>
              </w:rPr>
              <w:t>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15600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14400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39</w:t>
            </w:r>
          </w:p>
        </w:tc>
        <w:tc>
          <w:tcPr>
            <w:tcW w:w="2082" w:type="dxa"/>
            <w:vMerge w:val="restart"/>
            <w:vAlign w:val="center"/>
          </w:tcPr>
          <w:p>
            <w:pPr>
              <w:widowControl/>
              <w:jc w:val="center"/>
              <w:textAlignment w:val="center"/>
              <w:rPr>
                <w:rFonts w:ascii="宋体" w:hAnsi="宋体"/>
                <w:sz w:val="18"/>
                <w:lang w:bidi="ar"/>
              </w:rPr>
            </w:pPr>
            <w:r>
              <w:rPr>
                <w:rFonts w:hint="eastAsia" w:ascii="宋体" w:hAnsi="宋体"/>
                <w:sz w:val="18"/>
                <w:lang w:bidi="ar"/>
              </w:rPr>
              <w:t>信息工程学院</w:t>
            </w:r>
          </w:p>
          <w:p>
            <w:pPr>
              <w:widowControl/>
              <w:jc w:val="center"/>
              <w:textAlignment w:val="center"/>
              <w:rPr>
                <w:rFonts w:ascii="宋体" w:hAnsi="宋体"/>
                <w:color w:val="auto"/>
                <w:sz w:val="18"/>
                <w:lang w:val="zh-TW" w:eastAsia="zh-TW"/>
              </w:rPr>
            </w:pPr>
            <w:r>
              <w:rPr>
                <w:rFonts w:hint="eastAsia" w:ascii="宋体" w:hAnsi="宋体"/>
                <w:sz w:val="18"/>
                <w:lang w:bidi="ar"/>
              </w:rPr>
              <w:t>（专转本）</w:t>
            </w: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信息工程</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90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15600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14400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40</w:t>
            </w:r>
          </w:p>
        </w:tc>
        <w:tc>
          <w:tcPr>
            <w:tcW w:w="2082" w:type="dxa"/>
            <w:vMerge w:val="continue"/>
            <w:vAlign w:val="center"/>
          </w:tcPr>
          <w:p>
            <w:pPr>
              <w:widowControl/>
              <w:jc w:val="center"/>
              <w:textAlignment w:val="center"/>
              <w:rPr>
                <w:rFonts w:ascii="宋体" w:hAnsi="宋体"/>
                <w:color w:val="auto"/>
                <w:sz w:val="18"/>
                <w:lang w:val="zh-TW" w:eastAsia="zh-TW" w:bidi="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软件工程</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9</w:t>
            </w:r>
            <w:r>
              <w:rPr>
                <w:rFonts w:ascii="宋体" w:hAnsi="宋体"/>
                <w:sz w:val="18"/>
                <w:lang w:bidi="ar"/>
              </w:rPr>
              <w:t>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15600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14400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41</w:t>
            </w:r>
          </w:p>
        </w:tc>
        <w:tc>
          <w:tcPr>
            <w:tcW w:w="2082" w:type="dxa"/>
            <w:vMerge w:val="restart"/>
            <w:vAlign w:val="center"/>
          </w:tcPr>
          <w:p>
            <w:pPr>
              <w:widowControl/>
              <w:jc w:val="center"/>
              <w:textAlignment w:val="center"/>
              <w:rPr>
                <w:rFonts w:ascii="宋体" w:hAnsi="宋体"/>
                <w:sz w:val="18"/>
                <w:lang w:bidi="ar"/>
              </w:rPr>
            </w:pPr>
            <w:r>
              <w:rPr>
                <w:rFonts w:hint="eastAsia" w:ascii="宋体" w:hAnsi="宋体"/>
                <w:sz w:val="18"/>
                <w:lang w:bidi="ar"/>
              </w:rPr>
              <w:t>航空运输与工程学院</w:t>
            </w:r>
          </w:p>
          <w:p>
            <w:pPr>
              <w:widowControl/>
              <w:jc w:val="center"/>
              <w:textAlignment w:val="center"/>
              <w:rPr>
                <w:rFonts w:ascii="宋体" w:hAnsi="宋体"/>
                <w:color w:val="auto"/>
                <w:sz w:val="18"/>
                <w:lang w:val="zh-TW" w:eastAsia="zh-TW" w:bidi="zh-TW"/>
              </w:rPr>
            </w:pPr>
            <w:r>
              <w:rPr>
                <w:rFonts w:hint="eastAsia" w:ascii="宋体" w:hAnsi="宋体"/>
                <w:sz w:val="18"/>
                <w:lang w:bidi="ar"/>
              </w:rPr>
              <w:t>（专转本）</w:t>
            </w: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土木工程</w:t>
            </w:r>
          </w:p>
        </w:tc>
        <w:tc>
          <w:tcPr>
            <w:tcW w:w="1062" w:type="dxa"/>
            <w:vAlign w:val="center"/>
          </w:tcPr>
          <w:p>
            <w:pPr>
              <w:widowControl/>
              <w:jc w:val="center"/>
              <w:textAlignment w:val="center"/>
              <w:rPr>
                <w:rFonts w:ascii="宋体" w:hAnsi="宋体"/>
                <w:color w:val="auto"/>
                <w:sz w:val="18"/>
              </w:rPr>
            </w:pPr>
            <w:r>
              <w:rPr>
                <w:rFonts w:ascii="宋体" w:hAnsi="宋体"/>
                <w:sz w:val="18"/>
                <w:lang w:bidi="ar"/>
              </w:rPr>
              <w:t>90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w:t>
            </w:r>
            <w:r>
              <w:rPr>
                <w:rFonts w:ascii="宋体" w:hAnsi="宋体"/>
                <w:sz w:val="18"/>
                <w:lang w:bidi="ar"/>
              </w:rPr>
              <w:t>5600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w:t>
            </w:r>
            <w:r>
              <w:rPr>
                <w:rFonts w:ascii="宋体" w:hAnsi="宋体"/>
                <w:sz w:val="18"/>
                <w:lang w:bidi="ar"/>
              </w:rPr>
              <w:t>4400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42</w:t>
            </w:r>
          </w:p>
        </w:tc>
        <w:tc>
          <w:tcPr>
            <w:tcW w:w="2082" w:type="dxa"/>
            <w:vMerge w:val="continue"/>
            <w:vAlign w:val="top"/>
          </w:tcPr>
          <w:p>
            <w:pPr>
              <w:jc w:val="both"/>
              <w:rPr>
                <w:rFonts w:ascii="宋体" w:hAnsi="宋体"/>
                <w:color w:val="auto"/>
                <w:sz w:val="18"/>
                <w:lang w:val="zh-TW" w:eastAsia="zh-TW"/>
              </w:rPr>
            </w:pP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工商管理</w:t>
            </w:r>
          </w:p>
        </w:tc>
        <w:tc>
          <w:tcPr>
            <w:tcW w:w="1062" w:type="dxa"/>
            <w:vAlign w:val="center"/>
          </w:tcPr>
          <w:p>
            <w:pPr>
              <w:widowControl/>
              <w:jc w:val="center"/>
              <w:textAlignment w:val="center"/>
              <w:rPr>
                <w:rFonts w:ascii="宋体" w:hAnsi="宋体"/>
                <w:color w:val="auto"/>
                <w:sz w:val="18"/>
              </w:rPr>
            </w:pPr>
            <w:r>
              <w:rPr>
                <w:rFonts w:hint="eastAsia" w:ascii="宋体" w:hAnsi="宋体"/>
                <w:sz w:val="18"/>
                <w:lang w:bidi="ar"/>
              </w:rPr>
              <w:t>90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13600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14400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ascii="宋体" w:hAnsi="宋体"/>
                <w:color w:val="auto"/>
                <w:sz w:val="18"/>
              </w:rPr>
            </w:pPr>
            <w:r>
              <w:rPr>
                <w:rFonts w:hint="eastAsia" w:ascii="宋体" w:hAnsi="宋体"/>
                <w:sz w:val="18"/>
                <w:lang w:bidi="ar"/>
              </w:rPr>
              <w:t>43</w:t>
            </w:r>
          </w:p>
        </w:tc>
        <w:tc>
          <w:tcPr>
            <w:tcW w:w="2082" w:type="dxa"/>
            <w:vMerge w:val="restart"/>
            <w:vAlign w:val="center"/>
          </w:tcPr>
          <w:p>
            <w:pPr>
              <w:widowControl/>
              <w:jc w:val="center"/>
              <w:textAlignment w:val="center"/>
              <w:rPr>
                <w:rFonts w:ascii="宋体" w:hAnsi="宋体"/>
                <w:sz w:val="18"/>
                <w:lang w:bidi="ar"/>
              </w:rPr>
            </w:pPr>
            <w:r>
              <w:rPr>
                <w:rFonts w:hint="eastAsia" w:ascii="宋体" w:hAnsi="宋体"/>
                <w:sz w:val="18"/>
                <w:lang w:bidi="ar"/>
              </w:rPr>
              <w:t>国际商学院</w:t>
            </w:r>
          </w:p>
          <w:p>
            <w:pPr>
              <w:widowControl/>
              <w:jc w:val="center"/>
              <w:textAlignment w:val="center"/>
              <w:rPr>
                <w:rFonts w:ascii="宋体" w:hAnsi="宋体"/>
                <w:color w:val="auto"/>
                <w:sz w:val="18"/>
                <w:lang w:val="zh-TW" w:eastAsia="zh-TW" w:bidi="zh-TW"/>
              </w:rPr>
            </w:pPr>
            <w:r>
              <w:rPr>
                <w:rFonts w:hint="eastAsia" w:ascii="宋体" w:hAnsi="宋体"/>
                <w:sz w:val="18"/>
                <w:lang w:bidi="ar"/>
              </w:rPr>
              <w:t>（专转本）</w:t>
            </w:r>
          </w:p>
        </w:tc>
        <w:tc>
          <w:tcPr>
            <w:tcW w:w="2217" w:type="dxa"/>
            <w:vAlign w:val="center"/>
          </w:tcPr>
          <w:p>
            <w:pPr>
              <w:widowControl/>
              <w:jc w:val="center"/>
              <w:textAlignment w:val="center"/>
              <w:rPr>
                <w:rFonts w:ascii="宋体" w:hAnsi="宋体"/>
                <w:color w:val="auto"/>
                <w:sz w:val="18"/>
              </w:rPr>
            </w:pPr>
            <w:r>
              <w:rPr>
                <w:rFonts w:hint="eastAsia" w:ascii="宋体" w:hAnsi="宋体"/>
                <w:sz w:val="18"/>
                <w:lang w:bidi="ar"/>
              </w:rPr>
              <w:t>国际经济与贸易</w:t>
            </w:r>
          </w:p>
        </w:tc>
        <w:tc>
          <w:tcPr>
            <w:tcW w:w="1062" w:type="dxa"/>
            <w:vAlign w:val="center"/>
          </w:tcPr>
          <w:p>
            <w:pPr>
              <w:widowControl/>
              <w:jc w:val="center"/>
              <w:textAlignment w:val="center"/>
              <w:rPr>
                <w:rFonts w:ascii="宋体" w:hAnsi="宋体"/>
                <w:color w:val="auto"/>
                <w:sz w:val="18"/>
              </w:rPr>
            </w:pPr>
            <w:r>
              <w:rPr>
                <w:rFonts w:ascii="宋体" w:hAnsi="宋体"/>
                <w:sz w:val="18"/>
                <w:lang w:bidi="ar"/>
              </w:rPr>
              <w:t>90</w:t>
            </w:r>
          </w:p>
        </w:tc>
        <w:tc>
          <w:tcPr>
            <w:tcW w:w="725" w:type="dxa"/>
            <w:vAlign w:val="center"/>
          </w:tcPr>
          <w:p>
            <w:pPr>
              <w:widowControl/>
              <w:jc w:val="center"/>
              <w:textAlignment w:val="center"/>
              <w:rPr>
                <w:rFonts w:ascii="宋体" w:hAnsi="宋体"/>
                <w:color w:val="auto"/>
                <w:sz w:val="18"/>
              </w:rPr>
            </w:pPr>
            <w:r>
              <w:rPr>
                <w:rFonts w:hint="eastAsia" w:ascii="宋体" w:hAnsi="宋体"/>
                <w:sz w:val="18"/>
                <w:lang w:bidi="ar"/>
              </w:rPr>
              <w:t>13</w:t>
            </w:r>
            <w:r>
              <w:rPr>
                <w:rFonts w:ascii="宋体" w:hAnsi="宋体"/>
                <w:sz w:val="18"/>
                <w:lang w:bidi="ar"/>
              </w:rPr>
              <w:t>600</w:t>
            </w:r>
          </w:p>
        </w:tc>
        <w:tc>
          <w:tcPr>
            <w:tcW w:w="713" w:type="dxa"/>
            <w:vAlign w:val="center"/>
          </w:tcPr>
          <w:p>
            <w:pPr>
              <w:widowControl/>
              <w:jc w:val="center"/>
              <w:textAlignment w:val="center"/>
              <w:rPr>
                <w:rFonts w:ascii="宋体" w:hAnsi="宋体"/>
                <w:color w:val="auto"/>
                <w:sz w:val="18"/>
              </w:rPr>
            </w:pPr>
            <w:r>
              <w:rPr>
                <w:rFonts w:hint="eastAsia" w:ascii="宋体" w:hAnsi="宋体"/>
                <w:sz w:val="18"/>
                <w:lang w:bidi="ar"/>
              </w:rPr>
              <w:t>14</w:t>
            </w:r>
            <w:r>
              <w:rPr>
                <w:rFonts w:ascii="宋体" w:hAnsi="宋体"/>
                <w:sz w:val="18"/>
                <w:lang w:bidi="ar"/>
              </w:rPr>
              <w:t>400</w:t>
            </w:r>
          </w:p>
        </w:tc>
        <w:tc>
          <w:tcPr>
            <w:tcW w:w="887" w:type="dxa"/>
            <w:vAlign w:val="center"/>
          </w:tcPr>
          <w:p>
            <w:pPr>
              <w:widowControl/>
              <w:jc w:val="center"/>
              <w:textAlignment w:val="center"/>
              <w:rPr>
                <w:rFonts w:ascii="宋体" w:hAnsi="宋体"/>
                <w:color w:val="auto"/>
                <w:sz w:val="18"/>
              </w:rPr>
            </w:pPr>
            <w:r>
              <w:rPr>
                <w:rFonts w:hint="eastAsia" w:ascii="宋体" w:hAnsi="宋体"/>
                <w:sz w:val="18"/>
                <w:lang w:bidi="ar"/>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hint="default" w:ascii="宋体" w:hAnsi="宋体" w:eastAsia="宋体"/>
                <w:sz w:val="18"/>
                <w:lang w:val="en-US" w:eastAsia="zh-CN" w:bidi="ar"/>
              </w:rPr>
            </w:pPr>
            <w:r>
              <w:rPr>
                <w:rFonts w:hint="eastAsia" w:ascii="宋体" w:hAnsi="宋体"/>
                <w:sz w:val="18"/>
                <w:lang w:val="en-US" w:eastAsia="zh-CN" w:bidi="ar"/>
              </w:rPr>
              <w:t>44</w:t>
            </w:r>
          </w:p>
        </w:tc>
        <w:tc>
          <w:tcPr>
            <w:tcW w:w="2082" w:type="dxa"/>
            <w:vMerge w:val="continue"/>
            <w:vAlign w:val="center"/>
          </w:tcPr>
          <w:p>
            <w:pPr>
              <w:widowControl/>
              <w:jc w:val="center"/>
              <w:textAlignment w:val="center"/>
              <w:rPr>
                <w:rFonts w:hint="eastAsia" w:ascii="宋体" w:hAnsi="宋体"/>
                <w:sz w:val="18"/>
                <w:lang w:bidi="ar"/>
              </w:rPr>
            </w:pPr>
          </w:p>
        </w:tc>
        <w:tc>
          <w:tcPr>
            <w:tcW w:w="2217" w:type="dxa"/>
            <w:vAlign w:val="center"/>
          </w:tcPr>
          <w:p>
            <w:pPr>
              <w:widowControl/>
              <w:jc w:val="center"/>
              <w:textAlignment w:val="center"/>
              <w:rPr>
                <w:rFonts w:hint="eastAsia" w:ascii="宋体" w:hAnsi="宋体"/>
                <w:sz w:val="18"/>
                <w:lang w:bidi="ar"/>
              </w:rPr>
            </w:pPr>
            <w:r>
              <w:rPr>
                <w:rFonts w:hint="eastAsia" w:ascii="宋体" w:hAnsi="宋体"/>
                <w:sz w:val="18"/>
                <w:lang w:bidi="ar"/>
              </w:rPr>
              <w:t>市场营销</w:t>
            </w:r>
          </w:p>
        </w:tc>
        <w:tc>
          <w:tcPr>
            <w:tcW w:w="1062" w:type="dxa"/>
            <w:vAlign w:val="center"/>
          </w:tcPr>
          <w:p>
            <w:pPr>
              <w:widowControl/>
              <w:jc w:val="center"/>
              <w:textAlignment w:val="center"/>
              <w:rPr>
                <w:rFonts w:ascii="宋体" w:hAnsi="宋体"/>
                <w:sz w:val="18"/>
                <w:lang w:bidi="ar"/>
              </w:rPr>
            </w:pPr>
            <w:r>
              <w:rPr>
                <w:rFonts w:ascii="宋体" w:hAnsi="宋体"/>
                <w:sz w:val="18"/>
                <w:lang w:bidi="ar"/>
              </w:rPr>
              <w:t>90</w:t>
            </w:r>
          </w:p>
        </w:tc>
        <w:tc>
          <w:tcPr>
            <w:tcW w:w="725" w:type="dxa"/>
            <w:vAlign w:val="center"/>
          </w:tcPr>
          <w:p>
            <w:pPr>
              <w:widowControl/>
              <w:jc w:val="center"/>
              <w:textAlignment w:val="center"/>
              <w:rPr>
                <w:rFonts w:hint="eastAsia" w:ascii="宋体" w:hAnsi="宋体"/>
                <w:sz w:val="18"/>
                <w:lang w:bidi="ar"/>
              </w:rPr>
            </w:pPr>
            <w:r>
              <w:rPr>
                <w:rFonts w:hint="eastAsia" w:ascii="宋体" w:hAnsi="宋体"/>
                <w:sz w:val="18"/>
                <w:lang w:bidi="ar"/>
              </w:rPr>
              <w:t>13</w:t>
            </w:r>
            <w:r>
              <w:rPr>
                <w:rFonts w:ascii="宋体" w:hAnsi="宋体"/>
                <w:sz w:val="18"/>
                <w:lang w:bidi="ar"/>
              </w:rPr>
              <w:t>600</w:t>
            </w:r>
          </w:p>
        </w:tc>
        <w:tc>
          <w:tcPr>
            <w:tcW w:w="713" w:type="dxa"/>
            <w:vAlign w:val="center"/>
          </w:tcPr>
          <w:p>
            <w:pPr>
              <w:widowControl/>
              <w:jc w:val="center"/>
              <w:textAlignment w:val="center"/>
              <w:rPr>
                <w:rFonts w:hint="eastAsia" w:ascii="宋体" w:hAnsi="宋体"/>
                <w:sz w:val="18"/>
                <w:lang w:bidi="ar"/>
              </w:rPr>
            </w:pPr>
            <w:r>
              <w:rPr>
                <w:rFonts w:hint="eastAsia" w:ascii="宋体" w:hAnsi="宋体"/>
                <w:sz w:val="18"/>
                <w:lang w:bidi="ar"/>
              </w:rPr>
              <w:t>14</w:t>
            </w:r>
            <w:r>
              <w:rPr>
                <w:rFonts w:ascii="宋体" w:hAnsi="宋体"/>
                <w:sz w:val="18"/>
                <w:lang w:bidi="ar"/>
              </w:rPr>
              <w:t>400</w:t>
            </w:r>
          </w:p>
        </w:tc>
        <w:tc>
          <w:tcPr>
            <w:tcW w:w="887" w:type="dxa"/>
            <w:vAlign w:val="center"/>
          </w:tcPr>
          <w:p>
            <w:pPr>
              <w:widowControl/>
              <w:jc w:val="center"/>
              <w:textAlignment w:val="center"/>
              <w:rPr>
                <w:rFonts w:hint="eastAsia" w:ascii="宋体" w:hAnsi="宋体"/>
                <w:sz w:val="18"/>
                <w:lang w:bidi="ar"/>
              </w:rPr>
            </w:pPr>
            <w:r>
              <w:rPr>
                <w:rFonts w:hint="eastAsia" w:ascii="宋体" w:hAnsi="宋体"/>
                <w:sz w:val="18"/>
                <w:lang w:bidi="ar"/>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hint="default" w:ascii="宋体" w:hAnsi="宋体" w:eastAsia="宋体"/>
                <w:sz w:val="18"/>
                <w:lang w:val="en-US" w:eastAsia="zh-CN" w:bidi="ar"/>
              </w:rPr>
            </w:pPr>
            <w:r>
              <w:rPr>
                <w:rFonts w:hint="eastAsia" w:ascii="宋体" w:hAnsi="宋体"/>
                <w:sz w:val="18"/>
                <w:lang w:val="en-US" w:eastAsia="zh-CN" w:bidi="ar"/>
              </w:rPr>
              <w:t>45</w:t>
            </w:r>
          </w:p>
        </w:tc>
        <w:tc>
          <w:tcPr>
            <w:tcW w:w="2082" w:type="dxa"/>
            <w:vMerge w:val="continue"/>
            <w:vAlign w:val="center"/>
          </w:tcPr>
          <w:p>
            <w:pPr>
              <w:widowControl/>
              <w:jc w:val="center"/>
              <w:textAlignment w:val="center"/>
              <w:rPr>
                <w:rFonts w:hint="eastAsia" w:ascii="宋体" w:hAnsi="宋体"/>
                <w:sz w:val="18"/>
                <w:lang w:bidi="ar"/>
              </w:rPr>
            </w:pPr>
          </w:p>
        </w:tc>
        <w:tc>
          <w:tcPr>
            <w:tcW w:w="2217" w:type="dxa"/>
            <w:vAlign w:val="center"/>
          </w:tcPr>
          <w:p>
            <w:pPr>
              <w:widowControl/>
              <w:jc w:val="center"/>
              <w:textAlignment w:val="center"/>
              <w:rPr>
                <w:rFonts w:hint="eastAsia" w:ascii="宋体" w:hAnsi="宋体"/>
                <w:sz w:val="18"/>
                <w:lang w:bidi="ar"/>
              </w:rPr>
            </w:pPr>
            <w:r>
              <w:rPr>
                <w:rFonts w:hint="eastAsia" w:ascii="宋体" w:hAnsi="宋体"/>
                <w:sz w:val="18"/>
                <w:lang w:bidi="ar"/>
              </w:rPr>
              <w:t>会计学</w:t>
            </w:r>
          </w:p>
        </w:tc>
        <w:tc>
          <w:tcPr>
            <w:tcW w:w="1062" w:type="dxa"/>
            <w:vAlign w:val="center"/>
          </w:tcPr>
          <w:p>
            <w:pPr>
              <w:widowControl/>
              <w:jc w:val="center"/>
              <w:textAlignment w:val="center"/>
              <w:rPr>
                <w:rFonts w:ascii="宋体" w:hAnsi="宋体"/>
                <w:sz w:val="18"/>
                <w:lang w:bidi="ar"/>
              </w:rPr>
            </w:pPr>
            <w:r>
              <w:rPr>
                <w:rFonts w:hint="eastAsia" w:ascii="宋体" w:hAnsi="宋体"/>
                <w:sz w:val="18"/>
                <w:lang w:bidi="ar"/>
              </w:rPr>
              <w:t>90</w:t>
            </w:r>
          </w:p>
        </w:tc>
        <w:tc>
          <w:tcPr>
            <w:tcW w:w="725" w:type="dxa"/>
            <w:vAlign w:val="center"/>
          </w:tcPr>
          <w:p>
            <w:pPr>
              <w:widowControl/>
              <w:jc w:val="center"/>
              <w:textAlignment w:val="center"/>
              <w:rPr>
                <w:rFonts w:hint="eastAsia" w:ascii="宋体" w:hAnsi="宋体"/>
                <w:sz w:val="18"/>
                <w:lang w:bidi="ar"/>
              </w:rPr>
            </w:pPr>
            <w:r>
              <w:rPr>
                <w:rFonts w:hint="eastAsia" w:ascii="宋体" w:hAnsi="宋体"/>
                <w:sz w:val="18"/>
                <w:lang w:bidi="ar"/>
              </w:rPr>
              <w:t>13600</w:t>
            </w:r>
          </w:p>
        </w:tc>
        <w:tc>
          <w:tcPr>
            <w:tcW w:w="713" w:type="dxa"/>
            <w:vAlign w:val="center"/>
          </w:tcPr>
          <w:p>
            <w:pPr>
              <w:widowControl/>
              <w:jc w:val="center"/>
              <w:textAlignment w:val="center"/>
              <w:rPr>
                <w:rFonts w:hint="eastAsia" w:ascii="宋体" w:hAnsi="宋体"/>
                <w:sz w:val="18"/>
                <w:lang w:bidi="ar"/>
              </w:rPr>
            </w:pPr>
            <w:r>
              <w:rPr>
                <w:rFonts w:hint="eastAsia" w:ascii="宋体" w:hAnsi="宋体"/>
                <w:sz w:val="18"/>
                <w:lang w:bidi="ar"/>
              </w:rPr>
              <w:t>14400</w:t>
            </w:r>
          </w:p>
        </w:tc>
        <w:tc>
          <w:tcPr>
            <w:tcW w:w="887" w:type="dxa"/>
            <w:vAlign w:val="center"/>
          </w:tcPr>
          <w:p>
            <w:pPr>
              <w:widowControl/>
              <w:jc w:val="center"/>
              <w:textAlignment w:val="center"/>
              <w:rPr>
                <w:rFonts w:hint="eastAsia" w:ascii="宋体" w:hAnsi="宋体"/>
                <w:sz w:val="18"/>
                <w:lang w:bidi="ar"/>
              </w:rPr>
            </w:pPr>
            <w:r>
              <w:rPr>
                <w:rFonts w:hint="eastAsia" w:ascii="宋体" w:hAnsi="宋体"/>
                <w:sz w:val="18"/>
                <w:lang w:bidi="ar"/>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hint="default" w:ascii="宋体" w:hAnsi="宋体" w:eastAsia="宋体"/>
                <w:sz w:val="18"/>
                <w:lang w:val="en-US" w:eastAsia="zh-CN" w:bidi="ar"/>
              </w:rPr>
            </w:pPr>
            <w:r>
              <w:rPr>
                <w:rFonts w:hint="eastAsia" w:ascii="宋体" w:hAnsi="宋体"/>
                <w:sz w:val="18"/>
                <w:lang w:val="en-US" w:eastAsia="zh-CN" w:bidi="ar"/>
              </w:rPr>
              <w:t>46</w:t>
            </w:r>
          </w:p>
        </w:tc>
        <w:tc>
          <w:tcPr>
            <w:tcW w:w="2082" w:type="dxa"/>
            <w:vMerge w:val="restart"/>
            <w:vAlign w:val="center"/>
          </w:tcPr>
          <w:p>
            <w:pPr>
              <w:widowControl/>
              <w:jc w:val="center"/>
              <w:textAlignment w:val="center"/>
              <w:rPr>
                <w:rFonts w:hint="eastAsia" w:ascii="宋体" w:hAnsi="宋体"/>
                <w:sz w:val="18"/>
                <w:lang w:bidi="ar"/>
              </w:rPr>
            </w:pPr>
            <w:r>
              <w:rPr>
                <w:rFonts w:hint="eastAsia" w:ascii="宋体" w:hAnsi="宋体"/>
                <w:sz w:val="18"/>
                <w:lang w:bidi="ar"/>
              </w:rPr>
              <w:t>艺术与传媒学院（专转本）</w:t>
            </w:r>
          </w:p>
        </w:tc>
        <w:tc>
          <w:tcPr>
            <w:tcW w:w="2217" w:type="dxa"/>
            <w:vAlign w:val="center"/>
          </w:tcPr>
          <w:p>
            <w:pPr>
              <w:widowControl/>
              <w:jc w:val="center"/>
              <w:textAlignment w:val="center"/>
              <w:rPr>
                <w:rFonts w:hint="eastAsia" w:ascii="宋体" w:hAnsi="宋体"/>
                <w:sz w:val="18"/>
                <w:lang w:bidi="ar"/>
              </w:rPr>
            </w:pPr>
            <w:r>
              <w:rPr>
                <w:rFonts w:hint="eastAsia" w:ascii="宋体" w:hAnsi="宋体"/>
                <w:sz w:val="18"/>
                <w:lang w:bidi="ar"/>
              </w:rPr>
              <w:t>视觉传达设计</w:t>
            </w:r>
          </w:p>
        </w:tc>
        <w:tc>
          <w:tcPr>
            <w:tcW w:w="1062" w:type="dxa"/>
            <w:vAlign w:val="center"/>
          </w:tcPr>
          <w:p>
            <w:pPr>
              <w:widowControl/>
              <w:jc w:val="center"/>
              <w:textAlignment w:val="center"/>
              <w:rPr>
                <w:rFonts w:ascii="宋体" w:hAnsi="宋体"/>
                <w:sz w:val="18"/>
                <w:lang w:bidi="ar"/>
              </w:rPr>
            </w:pPr>
            <w:r>
              <w:rPr>
                <w:rFonts w:hint="eastAsia" w:ascii="宋体" w:hAnsi="宋体"/>
                <w:sz w:val="18"/>
                <w:lang w:bidi="ar"/>
              </w:rPr>
              <w:t>90</w:t>
            </w:r>
          </w:p>
        </w:tc>
        <w:tc>
          <w:tcPr>
            <w:tcW w:w="725" w:type="dxa"/>
            <w:vAlign w:val="center"/>
          </w:tcPr>
          <w:p>
            <w:pPr>
              <w:widowControl/>
              <w:jc w:val="center"/>
              <w:textAlignment w:val="center"/>
              <w:rPr>
                <w:rFonts w:hint="eastAsia" w:ascii="宋体" w:hAnsi="宋体"/>
                <w:sz w:val="18"/>
                <w:lang w:bidi="ar"/>
              </w:rPr>
            </w:pPr>
            <w:r>
              <w:rPr>
                <w:rFonts w:hint="eastAsia" w:ascii="宋体" w:hAnsi="宋体"/>
                <w:sz w:val="18"/>
                <w:lang w:bidi="ar"/>
              </w:rPr>
              <w:t>18600</w:t>
            </w:r>
          </w:p>
        </w:tc>
        <w:tc>
          <w:tcPr>
            <w:tcW w:w="713" w:type="dxa"/>
            <w:vAlign w:val="center"/>
          </w:tcPr>
          <w:p>
            <w:pPr>
              <w:widowControl/>
              <w:jc w:val="center"/>
              <w:textAlignment w:val="center"/>
              <w:rPr>
                <w:rFonts w:hint="eastAsia" w:ascii="宋体" w:hAnsi="宋体"/>
                <w:sz w:val="18"/>
                <w:lang w:bidi="ar"/>
              </w:rPr>
            </w:pPr>
            <w:r>
              <w:rPr>
                <w:rFonts w:hint="eastAsia" w:ascii="宋体" w:hAnsi="宋体"/>
                <w:sz w:val="18"/>
                <w:lang w:bidi="ar"/>
              </w:rPr>
              <w:t>14400</w:t>
            </w:r>
          </w:p>
        </w:tc>
        <w:tc>
          <w:tcPr>
            <w:tcW w:w="887" w:type="dxa"/>
            <w:vAlign w:val="center"/>
          </w:tcPr>
          <w:p>
            <w:pPr>
              <w:widowControl/>
              <w:jc w:val="center"/>
              <w:textAlignment w:val="center"/>
              <w:rPr>
                <w:rFonts w:hint="eastAsia" w:ascii="宋体" w:hAnsi="宋体"/>
                <w:sz w:val="18"/>
                <w:lang w:bidi="ar"/>
              </w:rPr>
            </w:pPr>
            <w:r>
              <w:rPr>
                <w:rFonts w:hint="eastAsia" w:ascii="宋体" w:hAnsi="宋体"/>
                <w:sz w:val="18"/>
                <w:lang w:bidi="ar"/>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jc w:val="center"/>
              <w:textAlignment w:val="center"/>
              <w:rPr>
                <w:rFonts w:hint="default" w:ascii="宋体" w:hAnsi="宋体" w:eastAsia="宋体"/>
                <w:sz w:val="18"/>
                <w:lang w:val="en-US" w:eastAsia="zh-CN" w:bidi="ar"/>
              </w:rPr>
            </w:pPr>
            <w:r>
              <w:rPr>
                <w:rFonts w:hint="eastAsia" w:ascii="宋体" w:hAnsi="宋体"/>
                <w:sz w:val="18"/>
                <w:lang w:val="en-US" w:eastAsia="zh-CN" w:bidi="ar"/>
              </w:rPr>
              <w:t>47</w:t>
            </w:r>
          </w:p>
        </w:tc>
        <w:tc>
          <w:tcPr>
            <w:tcW w:w="2082" w:type="dxa"/>
            <w:vMerge w:val="continue"/>
            <w:vAlign w:val="center"/>
          </w:tcPr>
          <w:p>
            <w:pPr>
              <w:widowControl/>
              <w:jc w:val="center"/>
              <w:textAlignment w:val="center"/>
              <w:rPr>
                <w:rFonts w:hint="eastAsia" w:ascii="宋体" w:hAnsi="宋体"/>
                <w:sz w:val="18"/>
                <w:lang w:bidi="ar"/>
              </w:rPr>
            </w:pPr>
          </w:p>
        </w:tc>
        <w:tc>
          <w:tcPr>
            <w:tcW w:w="2217" w:type="dxa"/>
            <w:vAlign w:val="center"/>
          </w:tcPr>
          <w:p>
            <w:pPr>
              <w:widowControl/>
              <w:jc w:val="center"/>
              <w:textAlignment w:val="center"/>
              <w:rPr>
                <w:rFonts w:hint="eastAsia" w:ascii="宋体" w:hAnsi="宋体"/>
                <w:sz w:val="18"/>
                <w:lang w:bidi="ar"/>
              </w:rPr>
            </w:pPr>
            <w:r>
              <w:rPr>
                <w:rFonts w:hint="eastAsia" w:ascii="宋体" w:hAnsi="宋体"/>
                <w:sz w:val="18"/>
                <w:lang w:bidi="ar"/>
              </w:rPr>
              <w:t>产品设计</w:t>
            </w:r>
          </w:p>
        </w:tc>
        <w:tc>
          <w:tcPr>
            <w:tcW w:w="1062" w:type="dxa"/>
            <w:vAlign w:val="center"/>
          </w:tcPr>
          <w:p>
            <w:pPr>
              <w:widowControl/>
              <w:jc w:val="center"/>
              <w:textAlignment w:val="center"/>
              <w:rPr>
                <w:rFonts w:ascii="宋体" w:hAnsi="宋体"/>
                <w:sz w:val="18"/>
                <w:lang w:bidi="ar"/>
              </w:rPr>
            </w:pPr>
            <w:r>
              <w:rPr>
                <w:rFonts w:hint="eastAsia" w:ascii="宋体" w:hAnsi="宋体"/>
                <w:sz w:val="18"/>
                <w:lang w:bidi="ar"/>
              </w:rPr>
              <w:t>90</w:t>
            </w:r>
          </w:p>
        </w:tc>
        <w:tc>
          <w:tcPr>
            <w:tcW w:w="725" w:type="dxa"/>
            <w:vAlign w:val="center"/>
          </w:tcPr>
          <w:p>
            <w:pPr>
              <w:widowControl/>
              <w:jc w:val="center"/>
              <w:textAlignment w:val="center"/>
              <w:rPr>
                <w:rFonts w:hint="eastAsia" w:ascii="宋体" w:hAnsi="宋体"/>
                <w:sz w:val="18"/>
                <w:lang w:bidi="ar"/>
              </w:rPr>
            </w:pPr>
            <w:r>
              <w:rPr>
                <w:rFonts w:hint="eastAsia" w:ascii="宋体" w:hAnsi="宋体"/>
                <w:sz w:val="18"/>
                <w:lang w:bidi="ar"/>
              </w:rPr>
              <w:t>18600</w:t>
            </w:r>
          </w:p>
        </w:tc>
        <w:tc>
          <w:tcPr>
            <w:tcW w:w="713" w:type="dxa"/>
            <w:vAlign w:val="center"/>
          </w:tcPr>
          <w:p>
            <w:pPr>
              <w:widowControl/>
              <w:jc w:val="center"/>
              <w:textAlignment w:val="center"/>
              <w:rPr>
                <w:rFonts w:hint="eastAsia" w:ascii="宋体" w:hAnsi="宋体"/>
                <w:sz w:val="18"/>
                <w:lang w:bidi="ar"/>
              </w:rPr>
            </w:pPr>
            <w:r>
              <w:rPr>
                <w:rFonts w:hint="eastAsia" w:ascii="宋体" w:hAnsi="宋体"/>
                <w:sz w:val="18"/>
                <w:lang w:bidi="ar"/>
              </w:rPr>
              <w:t>14400</w:t>
            </w:r>
          </w:p>
        </w:tc>
        <w:tc>
          <w:tcPr>
            <w:tcW w:w="887" w:type="dxa"/>
            <w:vAlign w:val="center"/>
          </w:tcPr>
          <w:p>
            <w:pPr>
              <w:widowControl/>
              <w:jc w:val="center"/>
              <w:textAlignment w:val="center"/>
              <w:rPr>
                <w:rFonts w:hint="eastAsia" w:ascii="宋体" w:hAnsi="宋体"/>
                <w:sz w:val="18"/>
                <w:lang w:bidi="ar"/>
              </w:rPr>
            </w:pPr>
            <w:r>
              <w:rPr>
                <w:rFonts w:hint="eastAsia" w:ascii="宋体" w:hAnsi="宋体"/>
                <w:sz w:val="18"/>
                <w:lang w:bidi="ar"/>
              </w:rPr>
              <w:t>33000</w:t>
            </w:r>
          </w:p>
        </w:tc>
      </w:tr>
    </w:tbl>
    <w:p>
      <w:pPr>
        <w:pStyle w:val="14"/>
        <w:spacing w:after="300" w:line="302" w:lineRule="exact"/>
        <w:ind w:firstLine="420"/>
        <w:jc w:val="both"/>
        <w:rPr>
          <w:color w:val="auto"/>
        </w:rPr>
        <w:sectPr>
          <w:pgSz w:w="9800" w:h="15120"/>
          <w:pgMar w:top="1043" w:right="652" w:bottom="987" w:left="663" w:header="0" w:footer="3" w:gutter="0"/>
          <w:pgNumType w:fmt="decimal"/>
          <w:cols w:space="720" w:num="1"/>
          <w:docGrid w:linePitch="360" w:charSpace="0"/>
        </w:sectPr>
      </w:pPr>
    </w:p>
    <w:p>
      <w:pPr>
        <w:rPr>
          <w:rFonts w:ascii="宋体" w:hAnsi="宋体"/>
          <w:color w:val="auto"/>
          <w:sz w:val="38"/>
          <w:szCs w:val="38"/>
          <w:lang w:val="zh-TW" w:eastAsia="zh-TW" w:bidi="zh-TW"/>
        </w:rPr>
      </w:pPr>
      <w:bookmarkStart w:id="174" w:name="bookmark210"/>
      <w:bookmarkStart w:id="175" w:name="bookmark212"/>
      <w:bookmarkStart w:id="176" w:name="bookmark211"/>
      <w:r>
        <w:rPr>
          <w:color w:val="auto"/>
        </w:rPr>
        <w:br w:type="page"/>
      </w:r>
    </w:p>
    <w:bookmarkEnd w:id="174"/>
    <w:bookmarkEnd w:id="175"/>
    <w:bookmarkEnd w:id="176"/>
    <w:p>
      <w:pPr>
        <w:pStyle w:val="12"/>
        <w:keepNext/>
        <w:keepLines/>
        <w:spacing w:before="1000" w:after="480" w:line="590" w:lineRule="exact"/>
        <w:rPr>
          <w:color w:val="auto"/>
          <w:highlight w:val="none"/>
        </w:rPr>
      </w:pPr>
      <w:bookmarkStart w:id="177" w:name="bookmark214"/>
      <w:bookmarkStart w:id="178" w:name="bookmark215"/>
      <w:bookmarkStart w:id="179" w:name="bookmark213"/>
      <w:r>
        <w:rPr>
          <w:color w:val="auto"/>
          <w:highlight w:val="none"/>
        </w:rPr>
        <w:t>南京航空航天大学金城学院</w:t>
      </w:r>
      <w:r>
        <w:rPr>
          <w:color w:val="auto"/>
          <w:highlight w:val="none"/>
        </w:rPr>
        <w:br w:type="textWrapping"/>
      </w:r>
      <w:r>
        <w:rPr>
          <w:color w:val="auto"/>
          <w:highlight w:val="none"/>
        </w:rPr>
        <w:t>学分认定及替代管理办法</w:t>
      </w:r>
    </w:p>
    <w:p>
      <w:pPr>
        <w:pStyle w:val="18"/>
        <w:keepNext/>
        <w:keepLines/>
        <w:spacing w:after="340"/>
        <w:rPr>
          <w:color w:val="auto"/>
        </w:rPr>
      </w:pPr>
      <w:r>
        <w:rPr>
          <w:color w:val="auto"/>
        </w:rPr>
        <w:t>第一章总则</w:t>
      </w:r>
      <w:bookmarkEnd w:id="177"/>
      <w:bookmarkEnd w:id="178"/>
      <w:bookmarkEnd w:id="179"/>
    </w:p>
    <w:p>
      <w:pPr>
        <w:pStyle w:val="14"/>
        <w:spacing w:line="302" w:lineRule="exact"/>
        <w:ind w:firstLine="420"/>
        <w:jc w:val="both"/>
        <w:rPr>
          <w:color w:val="auto"/>
        </w:rPr>
      </w:pPr>
      <w:r>
        <w:rPr>
          <w:b/>
          <w:bCs/>
          <w:color w:val="auto"/>
        </w:rPr>
        <w:t>第一条</w:t>
      </w:r>
      <w:r>
        <w:rPr>
          <w:color w:val="auto"/>
        </w:rPr>
        <w:t>为增强学生学习的自主性与选择性，激励学生多途径、多方面参与课程学习与素质拓展活动，促进学生个性发展，特制定《南京航空航天大学金城学院学分认定及替代管理办法》（以下称办法）。</w:t>
      </w:r>
    </w:p>
    <w:p>
      <w:pPr>
        <w:pStyle w:val="14"/>
        <w:spacing w:after="380" w:line="317" w:lineRule="exact"/>
        <w:ind w:firstLine="420"/>
        <w:jc w:val="both"/>
        <w:rPr>
          <w:color w:val="auto"/>
        </w:rPr>
      </w:pPr>
      <w:r>
        <w:rPr>
          <w:b/>
          <w:bCs/>
          <w:color w:val="auto"/>
        </w:rPr>
        <w:t>第二条</w:t>
      </w:r>
      <w:r>
        <w:rPr>
          <w:color w:val="auto"/>
        </w:rPr>
        <w:t>本办法适用于学生在籍期间参与的课内外、校内外、境内外各类课程学习和素质拓展活动。</w:t>
      </w:r>
    </w:p>
    <w:p>
      <w:pPr>
        <w:pStyle w:val="18"/>
        <w:keepNext/>
        <w:keepLines/>
        <w:spacing w:after="340"/>
        <w:rPr>
          <w:color w:val="auto"/>
        </w:rPr>
      </w:pPr>
      <w:bookmarkStart w:id="180" w:name="bookmark217"/>
      <w:bookmarkStart w:id="181" w:name="bookmark218"/>
      <w:bookmarkStart w:id="182" w:name="bookmark216"/>
      <w:r>
        <w:rPr>
          <w:color w:val="auto"/>
        </w:rPr>
        <w:t>第二章学分分类</w:t>
      </w:r>
      <w:bookmarkEnd w:id="180"/>
      <w:bookmarkEnd w:id="181"/>
      <w:bookmarkEnd w:id="182"/>
    </w:p>
    <w:p>
      <w:pPr>
        <w:pStyle w:val="14"/>
        <w:spacing w:line="304" w:lineRule="exact"/>
        <w:ind w:firstLine="420"/>
        <w:jc w:val="both"/>
        <w:rPr>
          <w:color w:val="auto"/>
        </w:rPr>
      </w:pPr>
      <w:r>
        <w:rPr>
          <w:b/>
          <w:bCs/>
          <w:color w:val="auto"/>
        </w:rPr>
        <w:t>第三条</w:t>
      </w:r>
      <w:r>
        <w:rPr>
          <w:color w:val="auto"/>
        </w:rPr>
        <w:t>学生在籍期间获得的学分分为专业学习学分和素质拓展学分两大类，按照学分和绩点两部分予以记载。</w:t>
      </w:r>
    </w:p>
    <w:p>
      <w:pPr>
        <w:pStyle w:val="14"/>
        <w:spacing w:line="304" w:lineRule="exact"/>
        <w:ind w:firstLine="420"/>
        <w:jc w:val="both"/>
        <w:rPr>
          <w:color w:val="auto"/>
        </w:rPr>
      </w:pPr>
      <w:r>
        <w:rPr>
          <w:b/>
          <w:bCs/>
          <w:color w:val="auto"/>
        </w:rPr>
        <w:t>第四条</w:t>
      </w:r>
      <w:r>
        <w:rPr>
          <w:color w:val="auto"/>
        </w:rPr>
        <w:t>专业学习学分按照主修专业、交流学习、转专业学习等子类予以记载至专业学习账户中。</w:t>
      </w:r>
    </w:p>
    <w:p>
      <w:pPr>
        <w:pStyle w:val="14"/>
        <w:spacing w:after="340" w:line="304" w:lineRule="exact"/>
        <w:ind w:firstLine="420"/>
        <w:jc w:val="both"/>
        <w:rPr>
          <w:color w:val="auto"/>
        </w:rPr>
      </w:pPr>
      <w:r>
        <w:rPr>
          <w:b/>
          <w:bCs/>
          <w:color w:val="auto"/>
        </w:rPr>
        <w:t>第五条</w:t>
      </w:r>
      <w:r>
        <w:rPr>
          <w:color w:val="auto"/>
        </w:rPr>
        <w:t>素质拓展学分按照学术科技、文体活动、实习实践、论文专利、专业资质、荣誉奖励等子类予以记载至素质拓展账户中。</w:t>
      </w:r>
    </w:p>
    <w:p>
      <w:pPr>
        <w:pStyle w:val="18"/>
        <w:keepNext/>
        <w:keepLines/>
        <w:spacing w:after="340"/>
        <w:rPr>
          <w:color w:val="auto"/>
        </w:rPr>
      </w:pPr>
      <w:bookmarkStart w:id="183" w:name="bookmark219"/>
      <w:bookmarkStart w:id="184" w:name="bookmark221"/>
      <w:bookmarkStart w:id="185" w:name="bookmark220"/>
      <w:r>
        <w:rPr>
          <w:color w:val="auto"/>
        </w:rPr>
        <w:t>第三章专业学习学分认定</w:t>
      </w:r>
      <w:bookmarkEnd w:id="183"/>
      <w:bookmarkEnd w:id="184"/>
      <w:bookmarkEnd w:id="185"/>
    </w:p>
    <w:p>
      <w:pPr>
        <w:pStyle w:val="14"/>
        <w:spacing w:line="307" w:lineRule="exact"/>
        <w:ind w:firstLine="420"/>
        <w:jc w:val="both"/>
        <w:rPr>
          <w:color w:val="auto"/>
        </w:rPr>
      </w:pPr>
      <w:r>
        <w:rPr>
          <w:b/>
          <w:bCs/>
          <w:color w:val="auto"/>
        </w:rPr>
        <w:t>第六条</w:t>
      </w:r>
      <w:r>
        <w:rPr>
          <w:color w:val="auto"/>
        </w:rPr>
        <w:t>专业学习学分认定分为校内、校外课程学习两个方面；认定内容包括学分和绩点；认定形式为课程认定。</w:t>
      </w:r>
    </w:p>
    <w:p>
      <w:pPr>
        <w:pStyle w:val="14"/>
        <w:spacing w:line="307" w:lineRule="exact"/>
        <w:ind w:firstLine="420"/>
        <w:jc w:val="both"/>
        <w:rPr>
          <w:color w:val="auto"/>
        </w:rPr>
      </w:pPr>
      <w:r>
        <w:rPr>
          <w:b/>
          <w:bCs/>
          <w:color w:val="auto"/>
        </w:rPr>
        <w:t>第七条</w:t>
      </w:r>
      <w:r>
        <w:rPr>
          <w:color w:val="auto"/>
        </w:rPr>
        <w:t>课程认定指将学习课程逐一进行认定。</w:t>
      </w:r>
    </w:p>
    <w:p>
      <w:pPr>
        <w:pStyle w:val="14"/>
        <w:spacing w:line="307" w:lineRule="exact"/>
        <w:ind w:firstLine="420"/>
        <w:jc w:val="both"/>
        <w:rPr>
          <w:color w:val="auto"/>
        </w:rPr>
      </w:pPr>
      <w:r>
        <w:rPr>
          <w:b/>
          <w:bCs/>
          <w:color w:val="auto"/>
        </w:rPr>
        <w:t>第八条</w:t>
      </w:r>
      <w:r>
        <w:rPr>
          <w:color w:val="auto"/>
        </w:rPr>
        <w:t>校内课程学习指参加学校组织的各类课程学习或考试。校内课程学习的学分和绩点均予以认定，包括以下几种情况：</w:t>
      </w:r>
    </w:p>
    <w:p>
      <w:pPr>
        <w:pStyle w:val="14"/>
        <w:spacing w:line="307" w:lineRule="exact"/>
        <w:ind w:firstLine="420"/>
        <w:jc w:val="both"/>
        <w:rPr>
          <w:color w:val="auto"/>
        </w:rPr>
      </w:pPr>
      <w:r>
        <w:rPr>
          <w:color w:val="auto"/>
        </w:rPr>
        <w:t>（</w:t>
      </w:r>
      <w:r>
        <w:rPr>
          <w:rFonts w:hint="eastAsia"/>
          <w:color w:val="auto"/>
        </w:rPr>
        <w:t>一</w:t>
      </w:r>
      <w:r>
        <w:rPr>
          <w:color w:val="auto"/>
        </w:rPr>
        <w:t>）主修专业课程</w:t>
      </w:r>
    </w:p>
    <w:p>
      <w:pPr>
        <w:pStyle w:val="14"/>
        <w:spacing w:line="307" w:lineRule="exact"/>
        <w:ind w:firstLine="420"/>
        <w:jc w:val="both"/>
        <w:rPr>
          <w:color w:val="auto"/>
        </w:rPr>
      </w:pPr>
      <w:r>
        <w:rPr>
          <w:color w:val="auto"/>
        </w:rPr>
        <w:t>（二）转专业前修读的专业课程</w:t>
      </w:r>
    </w:p>
    <w:p>
      <w:pPr>
        <w:pStyle w:val="14"/>
        <w:spacing w:line="307" w:lineRule="exact"/>
        <w:ind w:firstLine="420"/>
        <w:jc w:val="both"/>
        <w:rPr>
          <w:color w:val="auto"/>
        </w:rPr>
      </w:pPr>
      <w:r>
        <w:rPr>
          <w:color w:val="auto"/>
        </w:rPr>
        <w:t>（三）学校认定的</w:t>
      </w:r>
      <w:r>
        <w:rPr>
          <w:rFonts w:ascii="Times New Roman" w:hAnsi="Times New Roman" w:eastAsia="Times New Roman" w:cs="Times New Roman"/>
          <w:color w:val="auto"/>
          <w:sz w:val="20"/>
          <w:szCs w:val="20"/>
          <w:lang w:val="en-US" w:eastAsia="zh-CN" w:bidi="en-US"/>
        </w:rPr>
        <w:t>MOOCs</w:t>
      </w:r>
      <w:r>
        <w:rPr>
          <w:color w:val="auto"/>
        </w:rPr>
        <w:t>等网络课程</w:t>
      </w:r>
    </w:p>
    <w:p>
      <w:pPr>
        <w:pStyle w:val="14"/>
        <w:spacing w:after="380" w:line="274" w:lineRule="exact"/>
        <w:ind w:firstLine="420"/>
        <w:jc w:val="both"/>
        <w:rPr>
          <w:color w:val="auto"/>
        </w:rPr>
      </w:pPr>
      <w:r>
        <w:rPr>
          <w:b/>
          <w:bCs/>
          <w:color w:val="auto"/>
        </w:rPr>
        <w:t>第九条</w:t>
      </w:r>
      <w:r>
        <w:rPr>
          <w:color w:val="auto"/>
        </w:rPr>
        <w:t>校外课程学习指参加校外其他高校与教育机构的课程学习或考试。在境内学习的课程，学分和绩点经审核后予以认定；在境外学习的课程经审核后认定学分，但不转换绩点。</w:t>
      </w:r>
    </w:p>
    <w:p>
      <w:pPr>
        <w:pStyle w:val="18"/>
        <w:keepNext/>
        <w:keepLines/>
        <w:spacing w:after="340"/>
        <w:rPr>
          <w:color w:val="auto"/>
        </w:rPr>
      </w:pPr>
      <w:bookmarkStart w:id="186" w:name="bookmark224"/>
      <w:bookmarkStart w:id="187" w:name="bookmark225"/>
      <w:bookmarkStart w:id="188" w:name="bookmark226"/>
      <w:r>
        <w:rPr>
          <w:color w:val="auto"/>
        </w:rPr>
        <w:t>第四章素质拓展学分认定</w:t>
      </w:r>
      <w:bookmarkEnd w:id="186"/>
      <w:bookmarkEnd w:id="187"/>
      <w:bookmarkEnd w:id="188"/>
    </w:p>
    <w:p>
      <w:pPr>
        <w:pStyle w:val="14"/>
        <w:spacing w:line="306" w:lineRule="exact"/>
        <w:ind w:firstLine="420"/>
        <w:jc w:val="both"/>
        <w:rPr>
          <w:color w:val="auto"/>
        </w:rPr>
      </w:pPr>
      <w:r>
        <w:rPr>
          <w:b/>
          <w:bCs/>
          <w:color w:val="auto"/>
        </w:rPr>
        <w:t>第十条</w:t>
      </w:r>
      <w:r>
        <w:rPr>
          <w:color w:val="auto"/>
        </w:rPr>
        <w:t>素质拓展学分认定内容包括学分和绩点，涵盖活动学分认定和团队成员学分认定两方面。</w:t>
      </w:r>
    </w:p>
    <w:p>
      <w:pPr>
        <w:pStyle w:val="14"/>
        <w:spacing w:line="303" w:lineRule="exact"/>
        <w:ind w:firstLine="420"/>
        <w:jc w:val="both"/>
        <w:rPr>
          <w:color w:val="auto"/>
        </w:rPr>
      </w:pPr>
      <w:r>
        <w:rPr>
          <w:b/>
          <w:bCs/>
          <w:color w:val="auto"/>
        </w:rPr>
        <w:t>第十一条</w:t>
      </w:r>
      <w:r>
        <w:rPr>
          <w:color w:val="auto"/>
        </w:rPr>
        <w:t>同一作品出现在不同活动中时，只能认定其中一项活动，不得重复申请。</w:t>
      </w:r>
    </w:p>
    <w:p>
      <w:pPr>
        <w:pStyle w:val="14"/>
        <w:spacing w:line="303" w:lineRule="exact"/>
        <w:ind w:firstLine="420"/>
        <w:jc w:val="both"/>
        <w:rPr>
          <w:color w:val="auto"/>
        </w:rPr>
      </w:pPr>
      <w:r>
        <w:rPr>
          <w:b/>
          <w:bCs/>
          <w:color w:val="auto"/>
        </w:rPr>
        <w:t>第十二条</w:t>
      </w:r>
      <w:r>
        <w:rPr>
          <w:color w:val="auto"/>
        </w:rPr>
        <w:t>活动等级确定</w:t>
      </w:r>
    </w:p>
    <w:p>
      <w:pPr>
        <w:pStyle w:val="14"/>
        <w:spacing w:line="303" w:lineRule="exact"/>
        <w:ind w:firstLine="420"/>
        <w:jc w:val="both"/>
        <w:rPr>
          <w:color w:val="auto"/>
        </w:rPr>
      </w:pPr>
      <w:r>
        <w:rPr>
          <w:color w:val="auto"/>
        </w:rPr>
        <w:t>（</w:t>
      </w:r>
      <w:r>
        <w:rPr>
          <w:rFonts w:hint="eastAsia"/>
          <w:color w:val="auto"/>
        </w:rPr>
        <w:t>一</w:t>
      </w:r>
      <w:r>
        <w:rPr>
          <w:color w:val="auto"/>
        </w:rPr>
        <w:t>）竞赛、项目、论文、专利、著作等一般按一级甲等、</w:t>
      </w:r>
      <w:r>
        <w:rPr>
          <w:rFonts w:hint="eastAsia"/>
          <w:color w:val="auto"/>
        </w:rPr>
        <w:t>一</w:t>
      </w:r>
      <w:r>
        <w:rPr>
          <w:color w:val="auto"/>
        </w:rPr>
        <w:t>级乙等、二级甲等、二级乙等、三级甲等、三级乙等、四级甲等与四级乙等共四级八等予以认定。</w:t>
      </w:r>
    </w:p>
    <w:p>
      <w:pPr>
        <w:pStyle w:val="14"/>
        <w:tabs>
          <w:tab w:val="left" w:pos="1040"/>
        </w:tabs>
        <w:spacing w:line="303" w:lineRule="exact"/>
        <w:ind w:firstLine="420"/>
        <w:jc w:val="both"/>
        <w:rPr>
          <w:color w:val="auto"/>
        </w:rPr>
      </w:pPr>
      <w:r>
        <w:rPr>
          <w:color w:val="auto"/>
        </w:rPr>
        <w:t>（二）荣誉奖励、专业资质等按照</w:t>
      </w:r>
      <w:r>
        <w:rPr>
          <w:rFonts w:hint="eastAsia"/>
          <w:color w:val="auto"/>
        </w:rPr>
        <w:t>其他</w:t>
      </w:r>
      <w:r>
        <w:rPr>
          <w:color w:val="auto"/>
        </w:rPr>
        <w:t>标准划分等级的，与四级八等的对应关系如附表</w:t>
      </w:r>
      <w:r>
        <w:rPr>
          <w:rFonts w:ascii="Times New Roman" w:hAnsi="Times New Roman" w:eastAsia="Times New Roman" w:cs="Times New Roman"/>
          <w:color w:val="auto"/>
          <w:sz w:val="20"/>
          <w:szCs w:val="20"/>
        </w:rPr>
        <w:t>1</w:t>
      </w:r>
      <w:r>
        <w:rPr>
          <w:color w:val="auto"/>
        </w:rPr>
        <w:t>所示。</w:t>
      </w:r>
    </w:p>
    <w:p>
      <w:pPr>
        <w:pStyle w:val="14"/>
        <w:spacing w:line="303" w:lineRule="exact"/>
        <w:ind w:firstLine="420"/>
        <w:jc w:val="both"/>
        <w:rPr>
          <w:color w:val="auto"/>
        </w:rPr>
      </w:pPr>
      <w:r>
        <w:rPr>
          <w:color w:val="auto"/>
        </w:rPr>
        <w:t>（三）竞赛活动的等级评定结果参见《南京航空航天大学金城学院关于公布年度大学生竞赛级别认定结果的通知》。</w:t>
      </w:r>
    </w:p>
    <w:p>
      <w:pPr>
        <w:pStyle w:val="14"/>
        <w:spacing w:line="303" w:lineRule="exact"/>
        <w:ind w:firstLine="420"/>
        <w:jc w:val="both"/>
        <w:rPr>
          <w:color w:val="auto"/>
        </w:rPr>
      </w:pPr>
      <w:r>
        <w:rPr>
          <w:b/>
          <w:bCs/>
          <w:color w:val="auto"/>
        </w:rPr>
        <w:t>第十三条</w:t>
      </w:r>
      <w:r>
        <w:rPr>
          <w:color w:val="auto"/>
        </w:rPr>
        <w:t>活动学分认定</w:t>
      </w:r>
    </w:p>
    <w:p>
      <w:pPr>
        <w:pStyle w:val="14"/>
        <w:tabs>
          <w:tab w:val="left" w:pos="1062"/>
        </w:tabs>
        <w:spacing w:line="303" w:lineRule="exact"/>
        <w:ind w:firstLine="420"/>
        <w:jc w:val="both"/>
        <w:rPr>
          <w:color w:val="auto"/>
        </w:rPr>
      </w:pPr>
      <w:r>
        <w:rPr>
          <w:color w:val="auto"/>
        </w:rPr>
        <w:t>（一）活动学分按四级八等认定，具体见附表</w:t>
      </w:r>
      <w:r>
        <w:rPr>
          <w:rFonts w:ascii="Times New Roman" w:hAnsi="Times New Roman" w:eastAsia="Times New Roman" w:cs="Times New Roman"/>
          <w:color w:val="auto"/>
          <w:sz w:val="20"/>
          <w:szCs w:val="20"/>
        </w:rPr>
        <w:t>2</w:t>
      </w:r>
      <w:r>
        <w:rPr>
          <w:color w:val="auto"/>
        </w:rPr>
        <w:t>。</w:t>
      </w:r>
    </w:p>
    <w:p>
      <w:pPr>
        <w:pStyle w:val="14"/>
        <w:spacing w:line="303" w:lineRule="exact"/>
        <w:ind w:firstLine="420"/>
        <w:jc w:val="both"/>
        <w:rPr>
          <w:color w:val="auto"/>
        </w:rPr>
      </w:pPr>
      <w:r>
        <w:rPr>
          <w:color w:val="auto"/>
        </w:rPr>
        <w:t>（二）活动等级绩点按获奖等次认定，设置为</w:t>
      </w:r>
      <w:r>
        <w:rPr>
          <w:rFonts w:ascii="Times New Roman" w:hAnsi="Times New Roman" w:eastAsia="Times New Roman" w:cs="Times New Roman"/>
          <w:color w:val="auto"/>
          <w:sz w:val="20"/>
          <w:szCs w:val="20"/>
          <w:lang w:val="en-US" w:eastAsia="zh-CN" w:bidi="en-US"/>
        </w:rPr>
        <w:t>A+</w:t>
      </w:r>
      <w:r>
        <w:rPr>
          <w:color w:val="auto"/>
          <w:lang w:val="en-US" w:eastAsia="zh-CN" w:bidi="en-US"/>
        </w:rPr>
        <w:t>、</w:t>
      </w:r>
      <w:r>
        <w:rPr>
          <w:rFonts w:ascii="Times New Roman" w:hAnsi="Times New Roman" w:eastAsia="Times New Roman" w:cs="Times New Roman"/>
          <w:color w:val="auto"/>
          <w:sz w:val="20"/>
          <w:szCs w:val="20"/>
          <w:lang w:val="en-US" w:eastAsia="zh-CN" w:bidi="en-US"/>
        </w:rPr>
        <w:t>A</w:t>
      </w:r>
      <w:r>
        <w:rPr>
          <w:color w:val="auto"/>
          <w:lang w:val="en-US" w:eastAsia="zh-CN" w:bidi="en-US"/>
        </w:rPr>
        <w:t>、</w:t>
      </w:r>
      <w:r>
        <w:rPr>
          <w:rFonts w:ascii="Times New Roman" w:hAnsi="Times New Roman" w:eastAsia="Times New Roman" w:cs="Times New Roman"/>
          <w:color w:val="auto"/>
          <w:sz w:val="20"/>
          <w:szCs w:val="20"/>
          <w:lang w:val="en-US" w:eastAsia="zh-CN" w:bidi="en-US"/>
        </w:rPr>
        <w:t>B+</w:t>
      </w:r>
      <w:r>
        <w:rPr>
          <w:color w:val="auto"/>
          <w:lang w:val="en-US" w:eastAsia="zh-CN" w:bidi="en-US"/>
        </w:rPr>
        <w:t>、</w:t>
      </w:r>
      <w:r>
        <w:rPr>
          <w:rFonts w:ascii="Times New Roman" w:hAnsi="Times New Roman" w:eastAsia="Times New Roman" w:cs="Times New Roman"/>
          <w:color w:val="auto"/>
          <w:sz w:val="20"/>
          <w:szCs w:val="20"/>
          <w:lang w:val="en-US" w:eastAsia="zh-CN" w:bidi="en-US"/>
        </w:rPr>
        <w:t>B</w:t>
      </w:r>
      <w:r>
        <w:rPr>
          <w:color w:val="auto"/>
          <w:lang w:val="en-US" w:eastAsia="zh-CN" w:bidi="en-US"/>
        </w:rPr>
        <w:t>、</w:t>
      </w:r>
      <w:r>
        <w:rPr>
          <w:rFonts w:ascii="Times New Roman" w:hAnsi="Times New Roman" w:eastAsia="Times New Roman" w:cs="Times New Roman"/>
          <w:color w:val="auto"/>
          <w:sz w:val="20"/>
          <w:szCs w:val="20"/>
          <w:lang w:val="en-US" w:eastAsia="zh-CN" w:bidi="en-US"/>
        </w:rPr>
        <w:t>C+</w:t>
      </w:r>
      <w:r>
        <w:rPr>
          <w:color w:val="auto"/>
          <w:lang w:val="en-US" w:eastAsia="zh-CN" w:bidi="en-US"/>
        </w:rPr>
        <w:t>、</w:t>
      </w:r>
      <w:r>
        <w:rPr>
          <w:rFonts w:ascii="Times New Roman" w:hAnsi="Times New Roman" w:eastAsia="Times New Roman" w:cs="Times New Roman"/>
          <w:color w:val="auto"/>
          <w:sz w:val="20"/>
          <w:szCs w:val="20"/>
          <w:lang w:val="en-US" w:eastAsia="zh-CN" w:bidi="en-US"/>
        </w:rPr>
        <w:t>C</w:t>
      </w:r>
      <w:r>
        <w:rPr>
          <w:color w:val="auto"/>
          <w:lang w:val="en-US" w:eastAsia="zh-CN" w:bidi="en-US"/>
        </w:rPr>
        <w:t>、</w:t>
      </w:r>
      <w:r>
        <w:rPr>
          <w:rFonts w:ascii="Times New Roman" w:hAnsi="Times New Roman" w:eastAsia="Times New Roman" w:cs="Times New Roman"/>
          <w:color w:val="auto"/>
          <w:sz w:val="20"/>
          <w:szCs w:val="20"/>
          <w:lang w:val="en-US" w:eastAsia="zh-CN" w:bidi="en-US"/>
        </w:rPr>
        <w:t>D+</w:t>
      </w:r>
      <w:r>
        <w:rPr>
          <w:color w:val="auto"/>
          <w:lang w:val="en-US" w:eastAsia="zh-CN" w:bidi="en-US"/>
        </w:rPr>
        <w:t>、</w:t>
      </w:r>
      <w:r>
        <w:rPr>
          <w:rFonts w:ascii="Times New Roman" w:hAnsi="Times New Roman" w:eastAsia="Times New Roman" w:cs="Times New Roman"/>
          <w:color w:val="auto"/>
          <w:sz w:val="20"/>
          <w:szCs w:val="20"/>
          <w:lang w:val="en-US" w:eastAsia="zh-CN" w:bidi="en-US"/>
        </w:rPr>
        <w:t>D</w:t>
      </w:r>
      <w:r>
        <w:rPr>
          <w:color w:val="auto"/>
        </w:rPr>
        <w:t>八个等级。竞赛的等级绩点见附表</w:t>
      </w:r>
      <w:r>
        <w:rPr>
          <w:rFonts w:ascii="Times New Roman" w:hAnsi="Times New Roman" w:eastAsia="Times New Roman" w:cs="Times New Roman"/>
          <w:color w:val="auto"/>
          <w:sz w:val="20"/>
          <w:szCs w:val="20"/>
        </w:rPr>
        <w:t>3</w:t>
      </w:r>
      <w:r>
        <w:rPr>
          <w:rFonts w:hint="eastAsia"/>
          <w:color w:val="auto"/>
          <w:sz w:val="20"/>
          <w:szCs w:val="20"/>
        </w:rPr>
        <w:t>，</w:t>
      </w:r>
      <w:r>
        <w:rPr>
          <w:color w:val="auto"/>
        </w:rPr>
        <w:t>论文、专利、荣誉奖励、专业资质等无获奖等次的按第二等次认定绩点。</w:t>
      </w:r>
    </w:p>
    <w:p>
      <w:pPr>
        <w:pStyle w:val="14"/>
        <w:spacing w:line="303" w:lineRule="exact"/>
        <w:ind w:firstLine="420"/>
        <w:jc w:val="both"/>
        <w:rPr>
          <w:color w:val="auto"/>
        </w:rPr>
      </w:pPr>
      <w:r>
        <w:rPr>
          <w:b/>
          <w:bCs/>
          <w:color w:val="auto"/>
        </w:rPr>
        <w:t>第十四条</w:t>
      </w:r>
      <w:r>
        <w:rPr>
          <w:color w:val="auto"/>
        </w:rPr>
        <w:t>团队成员学分认定</w:t>
      </w:r>
    </w:p>
    <w:p>
      <w:pPr>
        <w:pStyle w:val="14"/>
        <w:spacing w:line="303" w:lineRule="exact"/>
        <w:ind w:firstLine="420"/>
        <w:jc w:val="both"/>
        <w:rPr>
          <w:color w:val="auto"/>
        </w:rPr>
      </w:pPr>
      <w:r>
        <w:rPr>
          <w:color w:val="auto"/>
        </w:rPr>
        <w:t>（</w:t>
      </w:r>
      <w:r>
        <w:rPr>
          <w:rFonts w:hint="eastAsia"/>
          <w:color w:val="auto"/>
        </w:rPr>
        <w:t>一</w:t>
      </w:r>
      <w:r>
        <w:rPr>
          <w:color w:val="auto"/>
        </w:rPr>
        <w:t>）素质拓展活动为个人形式的，团队成员学分即为该活动认定学分。</w:t>
      </w:r>
    </w:p>
    <w:p>
      <w:pPr>
        <w:pStyle w:val="14"/>
        <w:tabs>
          <w:tab w:val="left" w:pos="1059"/>
        </w:tabs>
        <w:spacing w:line="303" w:lineRule="exact"/>
        <w:ind w:firstLine="420"/>
        <w:jc w:val="both"/>
        <w:rPr>
          <w:color w:val="auto"/>
          <w:sz w:val="20"/>
          <w:szCs w:val="20"/>
        </w:rPr>
      </w:pPr>
      <w:r>
        <w:rPr>
          <w:color w:val="auto"/>
        </w:rPr>
        <w:t>（二）素质拓展活动为团队形式的，团队总学分即为认定的活动学分。竞赛、项目单独计算，以认定的学分为基准，团队总学分为：</w:t>
      </w:r>
      <w:r>
        <w:rPr>
          <w:rFonts w:hint="eastAsia"/>
          <w:color w:val="auto"/>
          <w:sz w:val="20"/>
          <w:szCs w:val="20"/>
          <w:lang w:val="en-US" w:bidi="en-US"/>
        </w:rPr>
        <w:t>。</w:t>
      </w:r>
    </w:p>
    <w:p>
      <w:pPr>
        <w:pStyle w:val="14"/>
        <w:spacing w:line="303" w:lineRule="exact"/>
        <w:ind w:firstLine="420"/>
        <w:jc w:val="both"/>
        <w:rPr>
          <w:color w:val="auto"/>
        </w:rPr>
      </w:pPr>
      <w:r>
        <w:rPr>
          <w:color w:val="auto"/>
        </w:rPr>
        <w:t>（三）每个团队成员均认定一定学分，学分分配比例由团队成员、指导教师确定，或者参照以下办法进行分配，分配公式为：第</w:t>
      </w:r>
      <w:r>
        <w:rPr>
          <w:rFonts w:hint="eastAsia"/>
          <w:color w:val="auto"/>
        </w:rPr>
        <w:t>一</w:t>
      </w:r>
      <w:r>
        <w:rPr>
          <w:color w:val="auto"/>
        </w:rPr>
        <w:t>名至</w:t>
      </w:r>
      <w:r>
        <w:rPr>
          <w:rFonts w:ascii="Times New Roman" w:hAnsi="Times New Roman" w:eastAsia="Times New Roman" w:cs="Times New Roman"/>
          <w:color w:val="auto"/>
          <w:sz w:val="20"/>
          <w:szCs w:val="20"/>
          <w:lang w:val="en-US" w:eastAsia="zh-CN" w:bidi="en-US"/>
        </w:rPr>
        <w:t>N-1</w:t>
      </w:r>
      <w:r>
        <w:rPr>
          <w:color w:val="auto"/>
        </w:rPr>
        <w:t>名团队成员学分=活动学分</w:t>
      </w:r>
      <w:r>
        <w:rPr>
          <w:rFonts w:ascii="Times New Roman" w:hAnsi="Times New Roman" w:eastAsia="Times New Roman" w:cs="Times New Roman"/>
          <w:color w:val="auto"/>
          <w:sz w:val="20"/>
          <w:szCs w:val="20"/>
          <w:lang w:val="en-US" w:eastAsia="zh-CN" w:bidi="en-US"/>
        </w:rPr>
        <w:t>/2n</w:t>
      </w:r>
      <w:r>
        <w:rPr>
          <w:rFonts w:hint="eastAsia"/>
          <w:color w:val="auto"/>
          <w:szCs w:val="20"/>
          <w:lang w:val="en-US" w:eastAsia="zh-CN" w:bidi="en-US"/>
        </w:rPr>
        <w:t>（</w:t>
      </w:r>
      <w:r>
        <w:rPr>
          <w:rFonts w:ascii="Times New Roman" w:hAnsi="Times New Roman" w:eastAsia="Times New Roman" w:cs="Times New Roman"/>
          <w:color w:val="auto"/>
          <w:sz w:val="20"/>
          <w:szCs w:val="20"/>
          <w:lang w:val="en-US" w:eastAsia="zh-CN" w:bidi="en-US"/>
        </w:rPr>
        <w:t>n=l</w:t>
      </w:r>
      <w:r>
        <w:rPr>
          <w:rFonts w:hint="eastAsia"/>
          <w:color w:val="auto"/>
          <w:sz w:val="20"/>
          <w:szCs w:val="20"/>
          <w:lang w:val="en-US" w:eastAsia="zh-CN" w:bidi="en-US"/>
        </w:rPr>
        <w:t>，</w:t>
      </w:r>
      <w:r>
        <w:rPr>
          <w:rFonts w:ascii="Times New Roman" w:hAnsi="Times New Roman" w:eastAsia="Times New Roman" w:cs="Times New Roman"/>
          <w:color w:val="auto"/>
          <w:sz w:val="20"/>
          <w:szCs w:val="20"/>
        </w:rPr>
        <w:t>2</w:t>
      </w:r>
      <w:r>
        <w:rPr>
          <w:rFonts w:hint="eastAsia"/>
          <w:color w:val="auto"/>
          <w:sz w:val="20"/>
          <w:szCs w:val="20"/>
        </w:rPr>
        <w:t>，</w:t>
      </w:r>
      <w:r>
        <w:rPr>
          <w:rFonts w:ascii="Times New Roman" w:hAnsi="Times New Roman" w:cs="Times New Roman" w:eastAsiaTheme="minorEastAsia"/>
          <w:color w:val="auto"/>
          <w:sz w:val="20"/>
          <w:szCs w:val="20"/>
          <w:lang w:val="zh-CN" w:eastAsia="zh-CN" w:bidi="zh-CN"/>
        </w:rPr>
        <w:sym w:font="Wingdings 2" w:char="F095"/>
      </w:r>
      <w:r>
        <w:rPr>
          <w:rFonts w:ascii="Times New Roman" w:hAnsi="Times New Roman" w:cs="Times New Roman" w:eastAsiaTheme="minorEastAsia"/>
          <w:color w:val="auto"/>
          <w:sz w:val="20"/>
          <w:szCs w:val="20"/>
          <w:lang w:val="zh-CN" w:eastAsia="zh-CN" w:bidi="zh-CN"/>
        </w:rPr>
        <w:sym w:font="Wingdings 2" w:char="F095"/>
      </w:r>
      <w:r>
        <w:rPr>
          <w:rFonts w:ascii="Times New Roman" w:hAnsi="Times New Roman" w:cs="Times New Roman" w:eastAsiaTheme="minorEastAsia"/>
          <w:color w:val="auto"/>
          <w:sz w:val="20"/>
          <w:szCs w:val="20"/>
          <w:lang w:val="zh-CN" w:eastAsia="zh-CN" w:bidi="zh-CN"/>
        </w:rPr>
        <w:sym w:font="Wingdings 2" w:char="F095"/>
      </w:r>
      <w:r>
        <w:rPr>
          <w:color w:val="auto"/>
          <w:sz w:val="20"/>
          <w:szCs w:val="20"/>
          <w:lang w:val="zh-CN" w:eastAsia="zh-CN" w:bidi="zh-CN"/>
        </w:rPr>
        <w:t>，</w:t>
      </w:r>
      <w:r>
        <w:rPr>
          <w:rFonts w:ascii="Times New Roman" w:hAnsi="Times New Roman" w:eastAsia="Times New Roman" w:cs="Times New Roman"/>
          <w:color w:val="auto"/>
          <w:sz w:val="20"/>
          <w:szCs w:val="20"/>
          <w:lang w:val="en-US" w:eastAsia="zh-CN" w:bidi="en-US"/>
        </w:rPr>
        <w:t>N-1</w:t>
      </w:r>
      <w:r>
        <w:rPr>
          <w:rFonts w:hint="eastAsia"/>
          <w:color w:val="auto"/>
          <w:szCs w:val="20"/>
          <w:lang w:val="en-US" w:eastAsia="zh-CN" w:bidi="en-US"/>
        </w:rPr>
        <w:t>）</w:t>
      </w:r>
      <w:r>
        <w:rPr>
          <w:rFonts w:hint="eastAsia"/>
          <w:color w:val="auto"/>
          <w:sz w:val="20"/>
          <w:szCs w:val="20"/>
          <w:lang w:val="en-US" w:eastAsia="zh-CN" w:bidi="en-US"/>
        </w:rPr>
        <w:t>，</w:t>
      </w:r>
      <w:r>
        <w:rPr>
          <w:color w:val="auto"/>
        </w:rPr>
        <w:t>最后一名成员学分</w:t>
      </w:r>
      <w:r>
        <w:rPr>
          <w:color w:val="auto"/>
          <w:lang w:val="zh-CN" w:eastAsia="zh-CN" w:bidi="zh-CN"/>
        </w:rPr>
        <w:t>=活</w:t>
      </w:r>
      <w:r>
        <w:rPr>
          <w:color w:val="auto"/>
        </w:rPr>
        <w:t>动学分</w:t>
      </w:r>
      <w:r>
        <w:rPr>
          <w:rFonts w:ascii="Times New Roman" w:hAnsi="Times New Roman" w:eastAsia="Times New Roman" w:cs="Times New Roman"/>
          <w:color w:val="auto"/>
          <w:sz w:val="20"/>
          <w:szCs w:val="20"/>
          <w:lang w:val="en-US" w:eastAsia="zh-CN" w:bidi="en-US"/>
        </w:rPr>
        <w:t>/2</w:t>
      </w:r>
      <w:r>
        <w:rPr>
          <w:color w:val="auto"/>
          <w:szCs w:val="20"/>
          <w:lang w:val="en-US" w:eastAsia="zh-CN" w:bidi="en-US"/>
        </w:rPr>
        <w:t>（</w:t>
      </w:r>
      <w:r>
        <w:rPr>
          <w:rFonts w:ascii="Times New Roman" w:hAnsi="Times New Roman" w:eastAsia="Times New Roman" w:cs="Times New Roman"/>
          <w:color w:val="auto"/>
          <w:sz w:val="20"/>
          <w:szCs w:val="20"/>
          <w:lang w:val="en-US" w:eastAsia="zh-CN" w:bidi="en-US"/>
        </w:rPr>
        <w:t>N-1</w:t>
      </w:r>
      <w:r>
        <w:rPr>
          <w:rFonts w:hint="eastAsia"/>
          <w:color w:val="auto"/>
          <w:szCs w:val="20"/>
        </w:rPr>
        <w:t>）</w:t>
      </w:r>
      <w:r>
        <w:rPr>
          <w:rFonts w:hint="eastAsia"/>
          <w:color w:val="auto"/>
          <w:sz w:val="20"/>
          <w:szCs w:val="20"/>
        </w:rPr>
        <w:t>，</w:t>
      </w:r>
      <w:r>
        <w:rPr>
          <w:rFonts w:ascii="Times New Roman" w:hAnsi="Times New Roman" w:eastAsia="Times New Roman" w:cs="Times New Roman"/>
          <w:color w:val="auto"/>
          <w:sz w:val="20"/>
          <w:szCs w:val="20"/>
          <w:lang w:val="en-US" w:eastAsia="zh-CN" w:bidi="en-US"/>
        </w:rPr>
        <w:t>N</w:t>
      </w:r>
      <w:r>
        <w:rPr>
          <w:color w:val="auto"/>
        </w:rPr>
        <w:t>为成员总人数、</w:t>
      </w:r>
      <w:r>
        <w:rPr>
          <w:rFonts w:ascii="Times New Roman" w:hAnsi="Times New Roman" w:eastAsia="Times New Roman" w:cs="Times New Roman"/>
          <w:color w:val="auto"/>
          <w:sz w:val="20"/>
          <w:szCs w:val="20"/>
          <w:lang w:val="en-US" w:eastAsia="zh-CN" w:bidi="en-US"/>
        </w:rPr>
        <w:t>n</w:t>
      </w:r>
      <w:r>
        <w:rPr>
          <w:color w:val="auto"/>
        </w:rPr>
        <w:t>为成员排名。认定学分最低为</w:t>
      </w:r>
      <w:r>
        <w:rPr>
          <w:rFonts w:ascii="Times New Roman" w:hAnsi="Times New Roman" w:eastAsia="Times New Roman" w:cs="Times New Roman"/>
          <w:color w:val="auto"/>
          <w:sz w:val="20"/>
          <w:szCs w:val="20"/>
          <w:lang w:val="en-US" w:eastAsia="zh-CN" w:bidi="en-US"/>
        </w:rPr>
        <w:t>0</w:t>
      </w:r>
      <w:r>
        <w:rPr>
          <w:rFonts w:hint="eastAsia"/>
          <w:color w:val="auto"/>
          <w:sz w:val="20"/>
          <w:szCs w:val="20"/>
          <w:lang w:val="en-US" w:eastAsia="zh-CN" w:bidi="en-US"/>
        </w:rPr>
        <w:t>.</w:t>
      </w:r>
      <w:r>
        <w:rPr>
          <w:rFonts w:ascii="Times New Roman" w:hAnsi="Times New Roman" w:eastAsia="Times New Roman" w:cs="Times New Roman"/>
          <w:color w:val="auto"/>
          <w:sz w:val="20"/>
          <w:szCs w:val="20"/>
          <w:lang w:val="en-US" w:eastAsia="zh-CN" w:bidi="en-US"/>
        </w:rPr>
        <w:t>1</w:t>
      </w:r>
      <w:r>
        <w:rPr>
          <w:rFonts w:hint="eastAsia"/>
          <w:color w:val="auto"/>
          <w:sz w:val="20"/>
          <w:szCs w:val="20"/>
          <w:lang w:val="en-US" w:eastAsia="zh-CN" w:bidi="en-US"/>
        </w:rPr>
        <w:t>。</w:t>
      </w:r>
      <w:r>
        <w:rPr>
          <w:color w:val="auto"/>
        </w:rPr>
        <w:t>不足</w:t>
      </w:r>
      <w:r>
        <w:rPr>
          <w:rFonts w:ascii="Times New Roman" w:hAnsi="Times New Roman" w:eastAsia="Times New Roman" w:cs="Times New Roman"/>
          <w:color w:val="auto"/>
          <w:sz w:val="20"/>
          <w:szCs w:val="20"/>
          <w:lang w:val="en-US" w:eastAsia="zh-CN" w:bidi="en-US"/>
        </w:rPr>
        <w:t>0.1</w:t>
      </w:r>
      <w:r>
        <w:rPr>
          <w:color w:val="auto"/>
        </w:rPr>
        <w:t>的按</w:t>
      </w:r>
      <w:r>
        <w:rPr>
          <w:rFonts w:ascii="Times New Roman" w:hAnsi="Times New Roman" w:eastAsia="Times New Roman" w:cs="Times New Roman"/>
          <w:color w:val="auto"/>
          <w:sz w:val="20"/>
          <w:szCs w:val="20"/>
          <w:lang w:val="en-US" w:eastAsia="zh-CN" w:bidi="en-US"/>
        </w:rPr>
        <w:t>0.1</w:t>
      </w:r>
      <w:r>
        <w:rPr>
          <w:color w:val="auto"/>
        </w:rPr>
        <w:t>记。</w:t>
      </w:r>
    </w:p>
    <w:p>
      <w:pPr>
        <w:pStyle w:val="14"/>
        <w:spacing w:line="303" w:lineRule="exact"/>
        <w:ind w:firstLine="420"/>
        <w:jc w:val="both"/>
        <w:rPr>
          <w:color w:val="auto"/>
        </w:rPr>
      </w:pPr>
      <w:r>
        <w:rPr>
          <w:color w:val="auto"/>
        </w:rPr>
        <w:t>（四）团队成员的绩点均为活动认定绩点。</w:t>
      </w:r>
    </w:p>
    <w:p>
      <w:pPr>
        <w:pStyle w:val="14"/>
        <w:spacing w:after="340" w:line="303" w:lineRule="exact"/>
        <w:ind w:firstLine="420"/>
        <w:jc w:val="both"/>
        <w:rPr>
          <w:color w:val="auto"/>
        </w:rPr>
      </w:pPr>
      <w:r>
        <w:rPr>
          <w:color w:val="auto"/>
        </w:rPr>
        <w:t>（五）论文排名前</w:t>
      </w:r>
      <w:r>
        <w:rPr>
          <w:rFonts w:ascii="Times New Roman" w:hAnsi="Times New Roman" w:eastAsia="Times New Roman" w:cs="Times New Roman"/>
          <w:color w:val="auto"/>
          <w:sz w:val="20"/>
          <w:szCs w:val="20"/>
        </w:rPr>
        <w:t>3</w:t>
      </w:r>
      <w:r>
        <w:rPr>
          <w:color w:val="auto"/>
        </w:rPr>
        <w:t>的方可认定学分。</w:t>
      </w:r>
    </w:p>
    <w:p>
      <w:pPr>
        <w:pStyle w:val="18"/>
        <w:keepNext/>
        <w:keepLines/>
        <w:spacing w:after="340"/>
        <w:rPr>
          <w:color w:val="auto"/>
        </w:rPr>
      </w:pPr>
      <w:bookmarkStart w:id="189" w:name="bookmark237"/>
      <w:bookmarkStart w:id="190" w:name="bookmark236"/>
      <w:bookmarkStart w:id="191" w:name="bookmark235"/>
      <w:r>
        <w:rPr>
          <w:color w:val="auto"/>
        </w:rPr>
        <w:t>第五章专业学习学分替代</w:t>
      </w:r>
      <w:bookmarkEnd w:id="189"/>
      <w:bookmarkEnd w:id="190"/>
      <w:bookmarkEnd w:id="191"/>
    </w:p>
    <w:p>
      <w:pPr>
        <w:pStyle w:val="14"/>
        <w:spacing w:line="300" w:lineRule="exact"/>
        <w:ind w:firstLine="420"/>
        <w:jc w:val="both"/>
        <w:rPr>
          <w:color w:val="auto"/>
        </w:rPr>
      </w:pPr>
      <w:r>
        <w:rPr>
          <w:b/>
          <w:bCs/>
          <w:color w:val="auto"/>
        </w:rPr>
        <w:t>第十五条</w:t>
      </w:r>
      <w:r>
        <w:rPr>
          <w:color w:val="auto"/>
        </w:rPr>
        <w:t>主修专业学习学分为毕业审核有效学分。学分替代是指用获得认定的学分来代替主修专业学习学分。</w:t>
      </w:r>
    </w:p>
    <w:p>
      <w:pPr>
        <w:pStyle w:val="14"/>
        <w:spacing w:line="300" w:lineRule="exact"/>
        <w:ind w:firstLine="420"/>
        <w:jc w:val="both"/>
        <w:rPr>
          <w:color w:val="auto"/>
        </w:rPr>
      </w:pPr>
      <w:r>
        <w:rPr>
          <w:b/>
          <w:bCs/>
          <w:color w:val="auto"/>
        </w:rPr>
        <w:t>第十六条</w:t>
      </w:r>
      <w:r>
        <w:rPr>
          <w:color w:val="auto"/>
        </w:rPr>
        <w:t>学分替代按认定课程与专业培养方案中应修课程的对应关系进行。学分和绩点根据认定内容进行替代。认定课程的总学分应高于或等于应修课程学分，教学内容及要求均应相同或相近。</w:t>
      </w:r>
    </w:p>
    <w:p>
      <w:pPr>
        <w:pStyle w:val="14"/>
        <w:spacing w:line="300" w:lineRule="exact"/>
        <w:ind w:firstLine="420"/>
        <w:jc w:val="both"/>
        <w:rPr>
          <w:color w:val="auto"/>
        </w:rPr>
      </w:pPr>
      <w:r>
        <w:rPr>
          <w:b/>
          <w:bCs/>
          <w:color w:val="auto"/>
        </w:rPr>
        <w:t>第十七条</w:t>
      </w:r>
      <w:r>
        <w:rPr>
          <w:color w:val="auto"/>
        </w:rPr>
        <w:t>校内课程学分替代</w:t>
      </w:r>
    </w:p>
    <w:p>
      <w:pPr>
        <w:pStyle w:val="14"/>
        <w:spacing w:line="300" w:lineRule="exact"/>
        <w:ind w:firstLine="420"/>
        <w:jc w:val="both"/>
        <w:rPr>
          <w:color w:val="auto"/>
        </w:rPr>
      </w:pPr>
      <w:r>
        <w:rPr>
          <w:color w:val="auto"/>
        </w:rPr>
        <w:t>（</w:t>
      </w:r>
      <w:r>
        <w:rPr>
          <w:rFonts w:hint="eastAsia"/>
          <w:color w:val="auto"/>
        </w:rPr>
        <w:t>一</w:t>
      </w:r>
      <w:r>
        <w:rPr>
          <w:color w:val="auto"/>
        </w:rPr>
        <w:t>）转专业前修读的专业课程。强化班分流，优秀生类、志趣专长类或特殊困难类转专业的，可替代相应必修或选修学分。</w:t>
      </w:r>
    </w:p>
    <w:p>
      <w:pPr>
        <w:pStyle w:val="14"/>
        <w:spacing w:after="400" w:line="300" w:lineRule="exact"/>
        <w:ind w:firstLine="420"/>
        <w:rPr>
          <w:color w:val="auto"/>
        </w:rPr>
      </w:pPr>
      <w:r>
        <w:rPr>
          <w:color w:val="auto"/>
        </w:rPr>
        <w:t>（二）学校认定的</w:t>
      </w:r>
      <w:r>
        <w:rPr>
          <w:rFonts w:ascii="Times New Roman" w:hAnsi="Times New Roman" w:eastAsia="Times New Roman" w:cs="Times New Roman"/>
          <w:color w:val="auto"/>
          <w:sz w:val="20"/>
          <w:szCs w:val="20"/>
          <w:lang w:val="en-US" w:eastAsia="zh-CN" w:bidi="en-US"/>
        </w:rPr>
        <w:t>MOOCs</w:t>
      </w:r>
      <w:r>
        <w:rPr>
          <w:color w:val="auto"/>
        </w:rPr>
        <w:t>等网络课程可替代相应必修或选修学分。</w:t>
      </w:r>
    </w:p>
    <w:p>
      <w:pPr>
        <w:pStyle w:val="18"/>
        <w:keepNext/>
        <w:keepLines/>
        <w:spacing w:after="340"/>
        <w:rPr>
          <w:color w:val="auto"/>
        </w:rPr>
      </w:pPr>
      <w:bookmarkStart w:id="192" w:name="bookmark241"/>
      <w:bookmarkStart w:id="193" w:name="bookmark240"/>
      <w:bookmarkStart w:id="194" w:name="bookmark239"/>
      <w:r>
        <w:rPr>
          <w:color w:val="auto"/>
        </w:rPr>
        <w:t>第六章素质拓展学分替代</w:t>
      </w:r>
      <w:bookmarkEnd w:id="192"/>
      <w:bookmarkEnd w:id="193"/>
      <w:bookmarkEnd w:id="194"/>
    </w:p>
    <w:p>
      <w:pPr>
        <w:pStyle w:val="14"/>
        <w:spacing w:line="288" w:lineRule="exact"/>
        <w:ind w:firstLine="420"/>
        <w:jc w:val="both"/>
        <w:rPr>
          <w:color w:val="auto"/>
        </w:rPr>
      </w:pPr>
      <w:r>
        <w:rPr>
          <w:b/>
          <w:bCs/>
          <w:color w:val="auto"/>
        </w:rPr>
        <w:t>第十八条</w:t>
      </w:r>
      <w:r>
        <w:rPr>
          <w:color w:val="auto"/>
        </w:rPr>
        <w:t>素质拓展学分替代</w:t>
      </w:r>
    </w:p>
    <w:p>
      <w:pPr>
        <w:pStyle w:val="14"/>
        <w:spacing w:after="180" w:line="288" w:lineRule="exact"/>
        <w:ind w:firstLine="420"/>
        <w:jc w:val="both"/>
        <w:rPr>
          <w:color w:val="auto"/>
        </w:rPr>
      </w:pPr>
      <w:r>
        <w:rPr>
          <w:color w:val="auto"/>
        </w:rPr>
        <w:t>根据认定内容，可替代相应课程的学分和绩点，或专门用于提升课程绩点。替代总学分不得超过总学分数要求的</w:t>
      </w:r>
      <w:r>
        <w:rPr>
          <w:rFonts w:ascii="Times New Roman" w:hAnsi="Times New Roman" w:eastAsia="Times New Roman" w:cs="Times New Roman"/>
          <w:color w:val="auto"/>
          <w:sz w:val="20"/>
          <w:szCs w:val="20"/>
          <w:lang w:val="en-US" w:eastAsia="zh-CN" w:bidi="en-US"/>
        </w:rPr>
        <w:t>5%</w:t>
      </w:r>
      <w:r>
        <w:rPr>
          <w:rFonts w:hint="eastAsia"/>
          <w:color w:val="auto"/>
          <w:sz w:val="20"/>
          <w:szCs w:val="20"/>
          <w:lang w:val="en-US" w:eastAsia="zh-CN" w:bidi="en-US"/>
        </w:rPr>
        <w:t>。</w:t>
      </w:r>
      <w:r>
        <w:rPr>
          <w:color w:val="auto"/>
        </w:rPr>
        <w:t>活动等级绩点与课程绩点对应关系见附表</w:t>
      </w:r>
      <w:r>
        <w:rPr>
          <w:rFonts w:ascii="Times New Roman" w:hAnsi="Times New Roman" w:eastAsia="Times New Roman" w:cs="Times New Roman"/>
          <w:color w:val="auto"/>
          <w:sz w:val="20"/>
          <w:szCs w:val="20"/>
        </w:rPr>
        <w:t>4</w:t>
      </w:r>
      <w:r>
        <w:rPr>
          <w:color w:val="auto"/>
        </w:rPr>
        <w:t>。</w:t>
      </w:r>
    </w:p>
    <w:p>
      <w:pPr>
        <w:pStyle w:val="14"/>
        <w:spacing w:line="298" w:lineRule="exact"/>
        <w:ind w:firstLine="420"/>
        <w:rPr>
          <w:color w:val="auto"/>
        </w:rPr>
      </w:pPr>
      <w:r>
        <w:rPr>
          <w:b/>
          <w:bCs/>
          <w:color w:val="auto"/>
        </w:rPr>
        <w:t>第十九条</w:t>
      </w:r>
      <w:r>
        <w:rPr>
          <w:color w:val="auto"/>
        </w:rPr>
        <w:t>素质拓展学分一般可替代内容相同或相近的专业选修课程的学分和绩点。</w:t>
      </w:r>
    </w:p>
    <w:p>
      <w:pPr>
        <w:pStyle w:val="14"/>
        <w:spacing w:line="298" w:lineRule="exact"/>
        <w:ind w:firstLine="420"/>
        <w:jc w:val="both"/>
        <w:rPr>
          <w:color w:val="auto"/>
        </w:rPr>
      </w:pPr>
      <w:r>
        <w:rPr>
          <w:color w:val="auto"/>
        </w:rPr>
        <w:t>（一）活动内容相同或相近的素质拓展学分可累加后进行替代，其绩点为相累加活动的平均学分绩点。</w:t>
      </w:r>
    </w:p>
    <w:p>
      <w:pPr>
        <w:pStyle w:val="14"/>
        <w:spacing w:line="298" w:lineRule="exact"/>
        <w:ind w:firstLine="420"/>
        <w:jc w:val="both"/>
        <w:rPr>
          <w:color w:val="auto"/>
        </w:rPr>
      </w:pPr>
      <w:r>
        <w:rPr>
          <w:color w:val="auto"/>
        </w:rPr>
        <w:t>（二</w:t>
      </w:r>
      <w:r>
        <w:rPr>
          <w:rFonts w:hint="eastAsia"/>
          <w:color w:val="auto"/>
        </w:rPr>
        <w:t>）</w:t>
      </w:r>
      <w:r>
        <w:rPr>
          <w:color w:val="auto"/>
        </w:rPr>
        <w:t>素质拓展学分替代专业选修课程，学分数不得低于课程学分数，学分记为所替代的课程的学分数，超出的学分不予使用。</w:t>
      </w:r>
    </w:p>
    <w:p>
      <w:pPr>
        <w:pStyle w:val="14"/>
        <w:spacing w:line="298" w:lineRule="exact"/>
        <w:ind w:firstLine="420"/>
        <w:rPr>
          <w:color w:val="auto"/>
        </w:rPr>
      </w:pPr>
      <w:r>
        <w:rPr>
          <w:b/>
          <w:bCs/>
          <w:color w:val="auto"/>
        </w:rPr>
        <w:t>第二十条</w:t>
      </w:r>
      <w:r>
        <w:rPr>
          <w:color w:val="auto"/>
        </w:rPr>
        <w:t>素质拓展学分可提升内容相同或相近的必修或选修课程的绩点。</w:t>
      </w:r>
    </w:p>
    <w:p>
      <w:pPr>
        <w:pStyle w:val="14"/>
        <w:spacing w:line="240" w:lineRule="auto"/>
        <w:ind w:firstLine="420"/>
        <w:rPr>
          <w:color w:val="auto"/>
        </w:rPr>
      </w:pPr>
      <w:r>
        <w:rPr>
          <w:color w:val="auto"/>
        </w:rPr>
        <w:t>（一）用单项素质拓展活动学分提升绩点，不进行累加。</w:t>
      </w:r>
    </w:p>
    <w:p>
      <w:pPr>
        <w:pStyle w:val="14"/>
        <w:spacing w:line="302" w:lineRule="exact"/>
        <w:ind w:firstLine="420"/>
        <w:rPr>
          <w:color w:val="auto"/>
        </w:rPr>
      </w:pPr>
      <w:r>
        <w:rPr>
          <w:color w:val="auto"/>
        </w:rPr>
        <w:t>（二）素质拓展学分不得低于拟提升绩点课程学分。</w:t>
      </w:r>
    </w:p>
    <w:p>
      <w:pPr>
        <w:pStyle w:val="14"/>
        <w:spacing w:line="302" w:lineRule="exact"/>
        <w:ind w:firstLine="420"/>
        <w:rPr>
          <w:color w:val="auto"/>
        </w:rPr>
      </w:pPr>
      <w:r>
        <w:rPr>
          <w:color w:val="auto"/>
        </w:rPr>
        <w:t>（三）素质拓展学分只能用于提升已获得学分的课程的绩点。</w:t>
      </w:r>
    </w:p>
    <w:p>
      <w:pPr>
        <w:pStyle w:val="14"/>
        <w:spacing w:line="302" w:lineRule="exact"/>
        <w:ind w:firstLine="420"/>
        <w:rPr>
          <w:color w:val="auto"/>
        </w:rPr>
      </w:pPr>
      <w:r>
        <w:rPr>
          <w:color w:val="auto"/>
        </w:rPr>
        <w:t>（四）同一门课程绩点只能提升一次。</w:t>
      </w:r>
    </w:p>
    <w:p>
      <w:pPr>
        <w:pStyle w:val="14"/>
        <w:spacing w:after="380" w:line="302" w:lineRule="exact"/>
        <w:ind w:firstLine="420"/>
        <w:rPr>
          <w:color w:val="auto"/>
        </w:rPr>
      </w:pPr>
      <w:r>
        <w:rPr>
          <w:color w:val="auto"/>
        </w:rPr>
        <w:t>（五）活动等级绩点与提升绩点的对应关系见附表</w:t>
      </w:r>
      <w:r>
        <w:rPr>
          <w:rFonts w:ascii="Times New Roman" w:hAnsi="Times New Roman" w:eastAsia="Times New Roman" w:cs="Times New Roman"/>
          <w:color w:val="auto"/>
          <w:sz w:val="20"/>
          <w:szCs w:val="20"/>
        </w:rPr>
        <w:t>5</w:t>
      </w:r>
      <w:r>
        <w:rPr>
          <w:color w:val="auto"/>
        </w:rPr>
        <w:t>。</w:t>
      </w:r>
    </w:p>
    <w:p>
      <w:pPr>
        <w:pStyle w:val="18"/>
        <w:keepNext/>
        <w:keepLines/>
        <w:rPr>
          <w:color w:val="auto"/>
        </w:rPr>
      </w:pPr>
      <w:bookmarkStart w:id="195" w:name="bookmark250"/>
      <w:bookmarkStart w:id="196" w:name="bookmark251"/>
      <w:bookmarkStart w:id="197" w:name="bookmark249"/>
      <w:r>
        <w:rPr>
          <w:color w:val="auto"/>
        </w:rPr>
        <w:t>第七章组织管理与工作要求</w:t>
      </w:r>
      <w:bookmarkEnd w:id="195"/>
      <w:bookmarkEnd w:id="196"/>
      <w:bookmarkEnd w:id="197"/>
    </w:p>
    <w:p>
      <w:pPr>
        <w:pStyle w:val="14"/>
        <w:spacing w:line="299" w:lineRule="exact"/>
        <w:ind w:firstLine="420"/>
        <w:rPr>
          <w:color w:val="auto"/>
        </w:rPr>
      </w:pPr>
      <w:r>
        <w:rPr>
          <w:b/>
          <w:bCs/>
          <w:color w:val="auto"/>
        </w:rPr>
        <w:t>第二十一条</w:t>
      </w:r>
      <w:r>
        <w:rPr>
          <w:color w:val="auto"/>
        </w:rPr>
        <w:t>学校成立学分认定替代工作组和学分认定替代专家组</w:t>
      </w:r>
    </w:p>
    <w:p>
      <w:pPr>
        <w:pStyle w:val="14"/>
        <w:spacing w:line="299" w:lineRule="exact"/>
        <w:ind w:firstLine="420"/>
        <w:jc w:val="both"/>
        <w:rPr>
          <w:color w:val="auto"/>
        </w:rPr>
      </w:pPr>
      <w:r>
        <w:rPr>
          <w:color w:val="auto"/>
        </w:rPr>
        <w:t>（</w:t>
      </w:r>
      <w:r>
        <w:rPr>
          <w:rFonts w:hint="eastAsia"/>
          <w:color w:val="auto"/>
        </w:rPr>
        <w:t>一</w:t>
      </w:r>
      <w:r>
        <w:rPr>
          <w:color w:val="auto"/>
        </w:rPr>
        <w:t>）学分认定替代工作组由教学科研处和各教学单位构成。教学科研处负责各类名录和案例的管理，根据申请情况组织召开认定替代专家会，核准及公布学分认定和替代结果</w:t>
      </w:r>
      <w:r>
        <w:rPr>
          <w:rFonts w:hint="eastAsia"/>
          <w:color w:val="auto"/>
        </w:rPr>
        <w:t>：</w:t>
      </w:r>
      <w:r>
        <w:rPr>
          <w:color w:val="auto"/>
        </w:rPr>
        <w:t>各教学单位负责组织学生完成申请，核实申请材料。</w:t>
      </w:r>
    </w:p>
    <w:p>
      <w:pPr>
        <w:pStyle w:val="14"/>
        <w:spacing w:line="299" w:lineRule="exact"/>
        <w:ind w:firstLine="420"/>
        <w:jc w:val="both"/>
        <w:rPr>
          <w:color w:val="auto"/>
        </w:rPr>
      </w:pPr>
      <w:r>
        <w:rPr>
          <w:color w:val="auto"/>
        </w:rPr>
        <w:t>（二）学分认定替代专家组由教学科研处分管负责人、课程负责人、活动负责人、活动指导老师等构成，负责会商评审学分认定及替代结果，结果经学术委员会审议后确定执行。</w:t>
      </w:r>
    </w:p>
    <w:p>
      <w:pPr>
        <w:pStyle w:val="14"/>
        <w:spacing w:line="322" w:lineRule="exact"/>
        <w:ind w:firstLine="420"/>
        <w:jc w:val="both"/>
        <w:rPr>
          <w:color w:val="auto"/>
        </w:rPr>
      </w:pPr>
      <w:r>
        <w:rPr>
          <w:b/>
          <w:bCs/>
          <w:color w:val="auto"/>
        </w:rPr>
        <w:t>第二十二条</w:t>
      </w:r>
      <w:r>
        <w:rPr>
          <w:color w:val="auto"/>
        </w:rPr>
        <w:t>学校于每年</w:t>
      </w:r>
      <w:r>
        <w:rPr>
          <w:rFonts w:ascii="Times New Roman" w:hAnsi="Times New Roman" w:eastAsia="Times New Roman" w:cs="Times New Roman"/>
          <w:color w:val="auto"/>
          <w:sz w:val="20"/>
          <w:szCs w:val="20"/>
        </w:rPr>
        <w:t>4</w:t>
      </w:r>
      <w:r>
        <w:rPr>
          <w:color w:val="auto"/>
        </w:rPr>
        <w:t>月和</w:t>
      </w:r>
      <w:r>
        <w:rPr>
          <w:rFonts w:ascii="Times New Roman" w:hAnsi="Times New Roman" w:eastAsia="Times New Roman" w:cs="Times New Roman"/>
          <w:color w:val="auto"/>
          <w:sz w:val="20"/>
          <w:szCs w:val="20"/>
        </w:rPr>
        <w:t>11</w:t>
      </w:r>
      <w:r>
        <w:rPr>
          <w:color w:val="auto"/>
        </w:rPr>
        <w:t>月发布学分认定及替代工作通知，学生应在规定间内完成申请。</w:t>
      </w:r>
    </w:p>
    <w:p>
      <w:pPr>
        <w:pStyle w:val="14"/>
        <w:spacing w:line="302" w:lineRule="exact"/>
        <w:ind w:firstLine="420"/>
        <w:jc w:val="both"/>
        <w:rPr>
          <w:color w:val="auto"/>
        </w:rPr>
      </w:pPr>
      <w:r>
        <w:rPr>
          <w:b/>
          <w:bCs/>
          <w:color w:val="auto"/>
        </w:rPr>
        <w:t>第二十三条</w:t>
      </w:r>
      <w:r>
        <w:rPr>
          <w:color w:val="auto"/>
        </w:rPr>
        <w:t>申请要求</w:t>
      </w:r>
    </w:p>
    <w:p>
      <w:pPr>
        <w:pStyle w:val="14"/>
        <w:spacing w:line="302" w:lineRule="exact"/>
        <w:ind w:firstLine="420"/>
        <w:rPr>
          <w:color w:val="auto"/>
        </w:rPr>
      </w:pPr>
      <w:r>
        <w:rPr>
          <w:color w:val="auto"/>
          <w:lang w:val="en-US" w:eastAsia="zh-CN" w:bidi="en-US"/>
        </w:rPr>
        <w:t>（</w:t>
      </w:r>
      <w:r>
        <w:rPr>
          <w:rFonts w:hint="eastAsia"/>
          <w:color w:val="auto"/>
          <w:lang w:val="en-US" w:eastAsia="zh-CN" w:bidi="en-US"/>
        </w:rPr>
        <w:t>一</w:t>
      </w:r>
      <w:r>
        <w:rPr>
          <w:color w:val="auto"/>
          <w:lang w:val="en-US" w:eastAsia="zh-CN" w:bidi="en-US"/>
        </w:rPr>
        <w:t>）</w:t>
      </w:r>
      <w:r>
        <w:rPr>
          <w:color w:val="auto"/>
        </w:rPr>
        <w:t>院内课程学分直接予以认定，学生自行核对。院外课程学分认定由学生申请。</w:t>
      </w:r>
    </w:p>
    <w:p>
      <w:pPr>
        <w:pStyle w:val="14"/>
        <w:spacing w:line="302" w:lineRule="exact"/>
        <w:ind w:firstLine="420"/>
        <w:jc w:val="both"/>
        <w:rPr>
          <w:color w:val="auto"/>
        </w:rPr>
      </w:pPr>
      <w:r>
        <w:rPr>
          <w:color w:val="auto"/>
        </w:rPr>
        <w:t>（二）素质拓展学分根据活动形式申请认定，学生个人取得的活动成果由个人申请认定</w:t>
      </w:r>
      <w:r>
        <w:rPr>
          <w:rFonts w:hint="eastAsia"/>
          <w:color w:val="auto"/>
        </w:rPr>
        <w:t>，</w:t>
      </w:r>
      <w:r>
        <w:rPr>
          <w:color w:val="auto"/>
        </w:rPr>
        <w:t>团队活动由团队负责人统一申请认定，成员个人申请无效。</w:t>
      </w:r>
    </w:p>
    <w:p>
      <w:pPr>
        <w:pStyle w:val="14"/>
        <w:spacing w:line="302" w:lineRule="exact"/>
        <w:ind w:firstLine="420"/>
        <w:jc w:val="both"/>
        <w:rPr>
          <w:color w:val="auto"/>
        </w:rPr>
      </w:pPr>
      <w:r>
        <w:rPr>
          <w:color w:val="auto"/>
        </w:rPr>
        <w:t>（三）学分替代由学生自行申请。</w:t>
      </w:r>
    </w:p>
    <w:p>
      <w:pPr>
        <w:pStyle w:val="14"/>
        <w:spacing w:line="302" w:lineRule="exact"/>
        <w:ind w:firstLine="420"/>
        <w:jc w:val="both"/>
        <w:rPr>
          <w:color w:val="auto"/>
        </w:rPr>
      </w:pPr>
      <w:r>
        <w:rPr>
          <w:b/>
          <w:bCs/>
          <w:color w:val="auto"/>
        </w:rPr>
        <w:t>第二十四条</w:t>
      </w:r>
      <w:r>
        <w:rPr>
          <w:color w:val="auto"/>
        </w:rPr>
        <w:t>审核要求</w:t>
      </w:r>
    </w:p>
    <w:p>
      <w:pPr>
        <w:pStyle w:val="14"/>
        <w:spacing w:line="302" w:lineRule="exact"/>
        <w:ind w:firstLine="420"/>
        <w:rPr>
          <w:color w:val="auto"/>
        </w:rPr>
      </w:pPr>
      <w:r>
        <w:rPr>
          <w:color w:val="auto"/>
        </w:rPr>
        <w:t>（一）各教学单位将初审通过的申请汇总后以纸质形式报教学科研处。</w:t>
      </w:r>
    </w:p>
    <w:p>
      <w:pPr>
        <w:pStyle w:val="14"/>
        <w:spacing w:line="302" w:lineRule="exact"/>
        <w:ind w:firstLine="420"/>
        <w:rPr>
          <w:color w:val="auto"/>
        </w:rPr>
      </w:pPr>
      <w:r>
        <w:rPr>
          <w:color w:val="auto"/>
        </w:rPr>
        <w:t>（二）教学科研处按名录或案例进行审核，未在名录或案例中的，提交专家组会商确定。</w:t>
      </w:r>
    </w:p>
    <w:p>
      <w:pPr>
        <w:pStyle w:val="14"/>
        <w:spacing w:after="380" w:line="302" w:lineRule="exact"/>
        <w:ind w:firstLine="420"/>
        <w:rPr>
          <w:color w:val="auto"/>
        </w:rPr>
      </w:pPr>
      <w:r>
        <w:rPr>
          <w:color w:val="auto"/>
        </w:rPr>
        <w:t>（三）学校以文件形式公布学分认定和替代结果。</w:t>
      </w:r>
    </w:p>
    <w:p>
      <w:pPr>
        <w:pStyle w:val="18"/>
        <w:keepNext/>
        <w:keepLines/>
        <w:rPr>
          <w:color w:val="auto"/>
        </w:rPr>
      </w:pPr>
      <w:bookmarkStart w:id="198" w:name="bookmark260"/>
      <w:bookmarkStart w:id="199" w:name="bookmark258"/>
      <w:bookmarkStart w:id="200" w:name="bookmark259"/>
      <w:r>
        <w:rPr>
          <w:color w:val="auto"/>
        </w:rPr>
        <w:t>第八章附则</w:t>
      </w:r>
      <w:bookmarkEnd w:id="198"/>
      <w:bookmarkEnd w:id="199"/>
      <w:bookmarkEnd w:id="200"/>
    </w:p>
    <w:p>
      <w:pPr>
        <w:pStyle w:val="14"/>
        <w:spacing w:line="307" w:lineRule="exact"/>
        <w:ind w:firstLine="420"/>
        <w:jc w:val="both"/>
        <w:rPr>
          <w:color w:val="auto"/>
        </w:rPr>
      </w:pPr>
      <w:r>
        <w:rPr>
          <w:b/>
          <w:bCs/>
          <w:color w:val="auto"/>
        </w:rPr>
        <w:t>第二十五条</w:t>
      </w:r>
      <w:r>
        <w:rPr>
          <w:color w:val="auto"/>
        </w:rPr>
        <w:t>本办法由教学科研处负责解释，从发文之日起开始执行，以前与本办法不一致的规定不再执行。</w:t>
      </w:r>
    </w:p>
    <w:p>
      <w:pPr>
        <w:rPr>
          <w:rFonts w:ascii="宋体" w:hAnsi="宋体"/>
          <w:color w:val="auto"/>
          <w:sz w:val="18"/>
          <w:lang w:val="zh-TW" w:eastAsia="zh-TW" w:bidi="zh-TW"/>
        </w:rPr>
      </w:pPr>
      <w:r>
        <w:rPr>
          <w:color w:val="auto"/>
          <w:lang w:eastAsia="zh-CN"/>
        </w:rPr>
        <w:br w:type="page"/>
      </w:r>
    </w:p>
    <w:p>
      <w:pPr>
        <w:pStyle w:val="22"/>
        <w:rPr>
          <w:b/>
          <w:bCs/>
          <w:color w:val="auto"/>
        </w:rPr>
      </w:pPr>
      <w:r>
        <w:rPr>
          <w:b/>
          <w:bCs/>
          <w:color w:val="auto"/>
        </w:rPr>
        <w:t>附表:</w:t>
      </w:r>
    </w:p>
    <w:p>
      <w:pPr>
        <w:pStyle w:val="14"/>
        <w:spacing w:after="80" w:line="240" w:lineRule="auto"/>
        <w:ind w:firstLine="0"/>
        <w:jc w:val="center"/>
        <w:rPr>
          <w:b/>
          <w:bCs/>
          <w:color w:val="auto"/>
        </w:rPr>
      </w:pPr>
      <w:r>
        <w:rPr>
          <w:b/>
          <w:bCs/>
          <w:color w:val="auto"/>
        </w:rPr>
        <w:t>表</w:t>
      </w:r>
      <w:r>
        <w:rPr>
          <w:rFonts w:ascii="Times New Roman" w:hAnsi="Times New Roman" w:eastAsia="Times New Roman" w:cs="Times New Roman"/>
          <w:b/>
          <w:bCs/>
          <w:color w:val="auto"/>
          <w:sz w:val="20"/>
          <w:szCs w:val="20"/>
        </w:rPr>
        <w:t>1</w:t>
      </w:r>
      <w:r>
        <w:rPr>
          <w:b/>
          <w:bCs/>
          <w:color w:val="auto"/>
        </w:rPr>
        <w:t>活动等级对照表</w:t>
      </w:r>
    </w:p>
    <w:tbl>
      <w:tblPr>
        <w:tblStyle w:val="6"/>
        <w:tblW w:w="0" w:type="auto"/>
        <w:jc w:val="center"/>
        <w:tblLayout w:type="fixed"/>
        <w:tblCellMar>
          <w:top w:w="0" w:type="dxa"/>
          <w:left w:w="10" w:type="dxa"/>
          <w:bottom w:w="0" w:type="dxa"/>
          <w:right w:w="10" w:type="dxa"/>
        </w:tblCellMar>
      </w:tblPr>
      <w:tblGrid>
        <w:gridCol w:w="1891"/>
        <w:gridCol w:w="2726"/>
        <w:gridCol w:w="1680"/>
        <w:gridCol w:w="1891"/>
      </w:tblGrid>
      <w:tr>
        <w:tblPrEx>
          <w:tblCellMar>
            <w:top w:w="0" w:type="dxa"/>
            <w:left w:w="10" w:type="dxa"/>
            <w:bottom w:w="0" w:type="dxa"/>
            <w:right w:w="10" w:type="dxa"/>
          </w:tblCellMar>
        </w:tblPrEx>
        <w:trPr>
          <w:trHeight w:val="379" w:hRule="exact"/>
          <w:jc w:val="center"/>
        </w:trPr>
        <w:tc>
          <w:tcPr>
            <w:tcW w:w="189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活动等级</w:t>
            </w:r>
          </w:p>
        </w:tc>
        <w:tc>
          <w:tcPr>
            <w:tcW w:w="272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竞赛、项目、论文、专利、著作</w:t>
            </w:r>
          </w:p>
        </w:tc>
        <w:tc>
          <w:tcPr>
            <w:tcW w:w="168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荣誉奖励</w:t>
            </w:r>
          </w:p>
        </w:tc>
        <w:tc>
          <w:tcPr>
            <w:tcW w:w="189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专业资质</w:t>
            </w:r>
          </w:p>
        </w:tc>
      </w:tr>
      <w:tr>
        <w:tblPrEx>
          <w:tblCellMar>
            <w:top w:w="0" w:type="dxa"/>
            <w:left w:w="10" w:type="dxa"/>
            <w:bottom w:w="0" w:type="dxa"/>
            <w:right w:w="10" w:type="dxa"/>
          </w:tblCellMar>
        </w:tblPrEx>
        <w:trPr>
          <w:trHeight w:val="365" w:hRule="exact"/>
          <w:jc w:val="center"/>
        </w:trPr>
        <w:tc>
          <w:tcPr>
            <w:tcW w:w="189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一级甲等</w:t>
            </w:r>
          </w:p>
        </w:tc>
        <w:tc>
          <w:tcPr>
            <w:tcW w:w="272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一级甲等</w:t>
            </w:r>
          </w:p>
        </w:tc>
        <w:tc>
          <w:tcPr>
            <w:tcW w:w="168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国家重要</w:t>
            </w:r>
          </w:p>
        </w:tc>
        <w:tc>
          <w:tcPr>
            <w:tcW w:w="189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国家高级</w:t>
            </w:r>
          </w:p>
        </w:tc>
      </w:tr>
      <w:tr>
        <w:tblPrEx>
          <w:tblCellMar>
            <w:top w:w="0" w:type="dxa"/>
            <w:left w:w="10" w:type="dxa"/>
            <w:bottom w:w="0" w:type="dxa"/>
            <w:right w:w="10" w:type="dxa"/>
          </w:tblCellMar>
        </w:tblPrEx>
        <w:trPr>
          <w:trHeight w:val="370" w:hRule="exact"/>
          <w:jc w:val="center"/>
        </w:trPr>
        <w:tc>
          <w:tcPr>
            <w:tcW w:w="189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一级乙等</w:t>
            </w:r>
          </w:p>
        </w:tc>
        <w:tc>
          <w:tcPr>
            <w:tcW w:w="272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一级乙等</w:t>
            </w:r>
          </w:p>
        </w:tc>
        <w:tc>
          <w:tcPr>
            <w:tcW w:w="168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国家一般</w:t>
            </w:r>
          </w:p>
        </w:tc>
        <w:tc>
          <w:tcPr>
            <w:tcW w:w="189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省部高级</w:t>
            </w:r>
          </w:p>
        </w:tc>
      </w:tr>
      <w:tr>
        <w:tblPrEx>
          <w:tblCellMar>
            <w:top w:w="0" w:type="dxa"/>
            <w:left w:w="10" w:type="dxa"/>
            <w:bottom w:w="0" w:type="dxa"/>
            <w:right w:w="10" w:type="dxa"/>
          </w:tblCellMar>
        </w:tblPrEx>
        <w:trPr>
          <w:trHeight w:val="370" w:hRule="exact"/>
          <w:jc w:val="center"/>
        </w:trPr>
        <w:tc>
          <w:tcPr>
            <w:tcW w:w="189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二级甲等</w:t>
            </w:r>
          </w:p>
        </w:tc>
        <w:tc>
          <w:tcPr>
            <w:tcW w:w="272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二级甲等</w:t>
            </w:r>
          </w:p>
        </w:tc>
        <w:tc>
          <w:tcPr>
            <w:tcW w:w="168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省部重要</w:t>
            </w:r>
          </w:p>
        </w:tc>
        <w:tc>
          <w:tcPr>
            <w:tcW w:w="189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国家中级</w:t>
            </w:r>
          </w:p>
        </w:tc>
      </w:tr>
      <w:tr>
        <w:tblPrEx>
          <w:tblCellMar>
            <w:top w:w="0" w:type="dxa"/>
            <w:left w:w="10" w:type="dxa"/>
            <w:bottom w:w="0" w:type="dxa"/>
            <w:right w:w="10" w:type="dxa"/>
          </w:tblCellMar>
        </w:tblPrEx>
        <w:trPr>
          <w:trHeight w:val="370" w:hRule="exact"/>
          <w:jc w:val="center"/>
        </w:trPr>
        <w:tc>
          <w:tcPr>
            <w:tcW w:w="1891"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二级乙等</w:t>
            </w:r>
          </w:p>
        </w:tc>
        <w:tc>
          <w:tcPr>
            <w:tcW w:w="2726"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二级乙等</w:t>
            </w:r>
          </w:p>
        </w:tc>
        <w:tc>
          <w:tcPr>
            <w:tcW w:w="1680"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省部一般</w:t>
            </w:r>
          </w:p>
        </w:tc>
        <w:tc>
          <w:tcPr>
            <w:tcW w:w="1891" w:type="dxa"/>
            <w:tcBorders>
              <w:top w:val="single" w:color="auto" w:sz="4" w:space="0"/>
              <w:left w:val="single" w:color="auto" w:sz="4" w:space="0"/>
              <w:right w:val="single" w:color="auto" w:sz="4" w:space="0"/>
            </w:tcBorders>
            <w:shd w:val="clear" w:color="auto" w:fill="FFFFFF"/>
            <w:vAlign w:val="center"/>
          </w:tcPr>
          <w:p>
            <w:pPr>
              <w:pStyle w:val="20"/>
              <w:spacing w:before="80" w:line="240" w:lineRule="auto"/>
              <w:ind w:firstLine="0"/>
              <w:jc w:val="center"/>
              <w:rPr>
                <w:color w:val="auto"/>
              </w:rPr>
            </w:pPr>
            <w:r>
              <w:rPr>
                <w:color w:val="auto"/>
              </w:rPr>
              <w:t>省部中级</w:t>
            </w:r>
          </w:p>
        </w:tc>
      </w:tr>
      <w:tr>
        <w:tblPrEx>
          <w:tblCellMar>
            <w:top w:w="0" w:type="dxa"/>
            <w:left w:w="10" w:type="dxa"/>
            <w:bottom w:w="0" w:type="dxa"/>
            <w:right w:w="10" w:type="dxa"/>
          </w:tblCellMar>
        </w:tblPrEx>
        <w:trPr>
          <w:trHeight w:val="370" w:hRule="exact"/>
          <w:jc w:val="center"/>
        </w:trPr>
        <w:tc>
          <w:tcPr>
            <w:tcW w:w="1891"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三级甲等</w:t>
            </w:r>
          </w:p>
        </w:tc>
        <w:tc>
          <w:tcPr>
            <w:tcW w:w="2726"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三级甲等</w:t>
            </w:r>
          </w:p>
        </w:tc>
        <w:tc>
          <w:tcPr>
            <w:tcW w:w="1680"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市厅级重要</w:t>
            </w:r>
          </w:p>
        </w:tc>
        <w:tc>
          <w:tcPr>
            <w:tcW w:w="1891" w:type="dxa"/>
            <w:tcBorders>
              <w:top w:val="single" w:color="auto" w:sz="4" w:space="0"/>
              <w:left w:val="single" w:color="auto" w:sz="4" w:space="0"/>
              <w:right w:val="single" w:color="auto" w:sz="4" w:space="0"/>
            </w:tcBorders>
            <w:shd w:val="clear" w:color="auto" w:fill="FFFFFF"/>
            <w:vAlign w:val="center"/>
          </w:tcPr>
          <w:p>
            <w:pPr>
              <w:pStyle w:val="20"/>
              <w:spacing w:before="80" w:line="240" w:lineRule="auto"/>
              <w:ind w:firstLine="0"/>
              <w:jc w:val="center"/>
              <w:rPr>
                <w:color w:val="auto"/>
              </w:rPr>
            </w:pPr>
            <w:r>
              <w:rPr>
                <w:color w:val="auto"/>
              </w:rPr>
              <w:t>国家初级</w:t>
            </w:r>
          </w:p>
        </w:tc>
      </w:tr>
      <w:tr>
        <w:tblPrEx>
          <w:tblCellMar>
            <w:top w:w="0" w:type="dxa"/>
            <w:left w:w="10" w:type="dxa"/>
            <w:bottom w:w="0" w:type="dxa"/>
            <w:right w:w="10" w:type="dxa"/>
          </w:tblCellMar>
        </w:tblPrEx>
        <w:trPr>
          <w:trHeight w:val="365" w:hRule="exact"/>
          <w:jc w:val="center"/>
        </w:trPr>
        <w:tc>
          <w:tcPr>
            <w:tcW w:w="1891"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三级乙等</w:t>
            </w:r>
          </w:p>
        </w:tc>
        <w:tc>
          <w:tcPr>
            <w:tcW w:w="2726"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三级乙等</w:t>
            </w:r>
          </w:p>
        </w:tc>
        <w:tc>
          <w:tcPr>
            <w:tcW w:w="1680"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市厅级一般</w:t>
            </w:r>
          </w:p>
        </w:tc>
        <w:tc>
          <w:tcPr>
            <w:tcW w:w="1891" w:type="dxa"/>
            <w:tcBorders>
              <w:top w:val="single" w:color="auto" w:sz="4" w:space="0"/>
              <w:left w:val="single" w:color="auto" w:sz="4" w:space="0"/>
              <w:right w:val="single" w:color="auto" w:sz="4" w:space="0"/>
            </w:tcBorders>
            <w:shd w:val="clear" w:color="auto" w:fill="FFFFFF"/>
            <w:vAlign w:val="center"/>
          </w:tcPr>
          <w:p>
            <w:pPr>
              <w:pStyle w:val="20"/>
              <w:spacing w:before="80" w:line="240" w:lineRule="auto"/>
              <w:ind w:firstLine="0"/>
              <w:jc w:val="center"/>
              <w:rPr>
                <w:color w:val="auto"/>
              </w:rPr>
            </w:pPr>
            <w:r>
              <w:rPr>
                <w:color w:val="auto"/>
              </w:rPr>
              <w:t>省部初级</w:t>
            </w:r>
          </w:p>
        </w:tc>
      </w:tr>
      <w:tr>
        <w:tblPrEx>
          <w:tblCellMar>
            <w:top w:w="0" w:type="dxa"/>
            <w:left w:w="10" w:type="dxa"/>
            <w:bottom w:w="0" w:type="dxa"/>
            <w:right w:w="10" w:type="dxa"/>
          </w:tblCellMar>
        </w:tblPrEx>
        <w:trPr>
          <w:trHeight w:val="370" w:hRule="exact"/>
          <w:jc w:val="center"/>
        </w:trPr>
        <w:tc>
          <w:tcPr>
            <w:tcW w:w="1891" w:type="dxa"/>
            <w:tcBorders>
              <w:top w:val="single" w:color="auto" w:sz="4" w:space="0"/>
              <w:left w:val="single" w:color="auto" w:sz="4" w:space="0"/>
            </w:tcBorders>
            <w:shd w:val="clear" w:color="auto" w:fill="FFFFFF"/>
            <w:vAlign w:val="center"/>
          </w:tcPr>
          <w:p>
            <w:pPr>
              <w:pStyle w:val="20"/>
              <w:spacing w:line="240" w:lineRule="auto"/>
              <w:ind w:firstLine="560"/>
              <w:rPr>
                <w:color w:val="auto"/>
              </w:rPr>
            </w:pPr>
            <w:r>
              <w:rPr>
                <w:color w:val="auto"/>
              </w:rPr>
              <w:t>四级甲等</w:t>
            </w:r>
          </w:p>
        </w:tc>
        <w:tc>
          <w:tcPr>
            <w:tcW w:w="272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四级甲等</w:t>
            </w:r>
          </w:p>
        </w:tc>
        <w:tc>
          <w:tcPr>
            <w:tcW w:w="168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院级重要</w:t>
            </w:r>
          </w:p>
        </w:tc>
        <w:tc>
          <w:tcPr>
            <w:tcW w:w="189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w:t>
            </w:r>
          </w:p>
        </w:tc>
      </w:tr>
      <w:tr>
        <w:tblPrEx>
          <w:tblCellMar>
            <w:top w:w="0" w:type="dxa"/>
            <w:left w:w="10" w:type="dxa"/>
            <w:bottom w:w="0" w:type="dxa"/>
            <w:right w:w="10" w:type="dxa"/>
          </w:tblCellMar>
        </w:tblPrEx>
        <w:trPr>
          <w:trHeight w:val="379" w:hRule="exact"/>
          <w:jc w:val="center"/>
        </w:trPr>
        <w:tc>
          <w:tcPr>
            <w:tcW w:w="1891"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560"/>
              <w:rPr>
                <w:color w:val="auto"/>
              </w:rPr>
            </w:pPr>
            <w:r>
              <w:rPr>
                <w:color w:val="auto"/>
              </w:rPr>
              <w:t>四级乙等</w:t>
            </w:r>
          </w:p>
        </w:tc>
        <w:tc>
          <w:tcPr>
            <w:tcW w:w="2726"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rPr>
            </w:pPr>
            <w:r>
              <w:rPr>
                <w:color w:val="auto"/>
              </w:rPr>
              <w:t>四级乙等</w:t>
            </w:r>
          </w:p>
        </w:tc>
        <w:tc>
          <w:tcPr>
            <w:tcW w:w="1680"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rPr>
            </w:pPr>
            <w:r>
              <w:rPr>
                <w:color w:val="auto"/>
              </w:rPr>
              <w:t>院级一般</w:t>
            </w:r>
          </w:p>
        </w:tc>
        <w:tc>
          <w:tcPr>
            <w:tcW w:w="18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w:t>
            </w:r>
          </w:p>
        </w:tc>
      </w:tr>
    </w:tbl>
    <w:p>
      <w:pPr>
        <w:spacing w:after="259" w:line="1" w:lineRule="exact"/>
        <w:rPr>
          <w:color w:val="auto"/>
        </w:rPr>
      </w:pPr>
    </w:p>
    <w:p>
      <w:pPr>
        <w:pStyle w:val="14"/>
        <w:spacing w:after="80" w:line="240" w:lineRule="auto"/>
        <w:ind w:firstLine="0"/>
        <w:jc w:val="center"/>
        <w:rPr>
          <w:b/>
          <w:bCs/>
          <w:color w:val="auto"/>
        </w:rPr>
      </w:pPr>
      <w:r>
        <w:rPr>
          <w:b/>
          <w:bCs/>
          <w:color w:val="auto"/>
        </w:rPr>
        <w:t>表</w:t>
      </w:r>
      <w:r>
        <w:rPr>
          <w:rFonts w:ascii="Times New Roman" w:hAnsi="Times New Roman" w:eastAsia="Times New Roman" w:cs="Times New Roman"/>
          <w:b/>
          <w:bCs/>
          <w:color w:val="auto"/>
          <w:sz w:val="20"/>
          <w:szCs w:val="20"/>
        </w:rPr>
        <w:t>2</w:t>
      </w:r>
      <w:r>
        <w:rPr>
          <w:b/>
          <w:bCs/>
          <w:color w:val="auto"/>
        </w:rPr>
        <w:t>活动等级对应学分</w:t>
      </w:r>
    </w:p>
    <w:tbl>
      <w:tblPr>
        <w:tblStyle w:val="6"/>
        <w:tblW w:w="0" w:type="auto"/>
        <w:jc w:val="center"/>
        <w:tblLayout w:type="fixed"/>
        <w:tblCellMar>
          <w:top w:w="0" w:type="dxa"/>
          <w:left w:w="10" w:type="dxa"/>
          <w:bottom w:w="0" w:type="dxa"/>
          <w:right w:w="10" w:type="dxa"/>
        </w:tblCellMar>
      </w:tblPr>
      <w:tblGrid>
        <w:gridCol w:w="1061"/>
        <w:gridCol w:w="840"/>
        <w:gridCol w:w="840"/>
        <w:gridCol w:w="840"/>
        <w:gridCol w:w="840"/>
        <w:gridCol w:w="840"/>
        <w:gridCol w:w="840"/>
        <w:gridCol w:w="850"/>
      </w:tblGrid>
      <w:tr>
        <w:tblPrEx>
          <w:tblCellMar>
            <w:top w:w="0" w:type="dxa"/>
            <w:left w:w="10" w:type="dxa"/>
            <w:bottom w:w="0" w:type="dxa"/>
            <w:right w:w="10" w:type="dxa"/>
          </w:tblCellMar>
        </w:tblPrEx>
        <w:trPr>
          <w:trHeight w:val="379" w:hRule="exact"/>
          <w:jc w:val="center"/>
        </w:trPr>
        <w:tc>
          <w:tcPr>
            <w:tcW w:w="1061" w:type="dxa"/>
            <w:vMerge w:val="restart"/>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活动等级</w:t>
            </w:r>
          </w:p>
        </w:tc>
        <w:tc>
          <w:tcPr>
            <w:tcW w:w="5890" w:type="dxa"/>
            <w:gridSpan w:val="7"/>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学分</w:t>
            </w:r>
          </w:p>
        </w:tc>
      </w:tr>
      <w:tr>
        <w:tblPrEx>
          <w:tblCellMar>
            <w:top w:w="0" w:type="dxa"/>
            <w:left w:w="10" w:type="dxa"/>
            <w:bottom w:w="0" w:type="dxa"/>
            <w:right w:w="10" w:type="dxa"/>
          </w:tblCellMar>
        </w:tblPrEx>
        <w:trPr>
          <w:trHeight w:val="370" w:hRule="exact"/>
          <w:jc w:val="center"/>
        </w:trPr>
        <w:tc>
          <w:tcPr>
            <w:tcW w:w="1061" w:type="dxa"/>
            <w:vMerge w:val="continue"/>
            <w:tcBorders>
              <w:left w:val="single" w:color="auto" w:sz="4" w:space="0"/>
            </w:tcBorders>
            <w:shd w:val="clear" w:color="auto" w:fill="FFFFFF"/>
            <w:vAlign w:val="center"/>
          </w:tcPr>
          <w:p>
            <w:pPr>
              <w:rPr>
                <w:color w:val="auto"/>
              </w:rPr>
            </w:pPr>
          </w:p>
        </w:tc>
        <w:tc>
          <w:tcPr>
            <w:tcW w:w="840"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竞赛</w:t>
            </w:r>
          </w:p>
        </w:tc>
        <w:tc>
          <w:tcPr>
            <w:tcW w:w="840"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项目</w:t>
            </w:r>
          </w:p>
        </w:tc>
        <w:tc>
          <w:tcPr>
            <w:tcW w:w="840"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论文</w:t>
            </w:r>
          </w:p>
        </w:tc>
        <w:tc>
          <w:tcPr>
            <w:tcW w:w="840"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著作</w:t>
            </w:r>
          </w:p>
        </w:tc>
        <w:tc>
          <w:tcPr>
            <w:tcW w:w="840"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专利</w:t>
            </w:r>
          </w:p>
        </w:tc>
        <w:tc>
          <w:tcPr>
            <w:tcW w:w="840" w:type="dxa"/>
            <w:tcBorders>
              <w:top w:val="single" w:color="auto" w:sz="4" w:space="0"/>
              <w:left w:val="single" w:color="auto" w:sz="4" w:space="0"/>
            </w:tcBorders>
            <w:shd w:val="clear" w:color="auto" w:fill="FFFFFF"/>
            <w:vAlign w:val="center"/>
          </w:tcPr>
          <w:p>
            <w:pPr>
              <w:pStyle w:val="20"/>
              <w:spacing w:before="80" w:line="240" w:lineRule="auto"/>
              <w:ind w:firstLine="0"/>
              <w:jc w:val="center"/>
              <w:rPr>
                <w:color w:val="auto"/>
              </w:rPr>
            </w:pPr>
            <w:r>
              <w:rPr>
                <w:color w:val="auto"/>
              </w:rPr>
              <w:t>荣誉奖励</w:t>
            </w:r>
          </w:p>
        </w:tc>
        <w:tc>
          <w:tcPr>
            <w:tcW w:w="850" w:type="dxa"/>
            <w:tcBorders>
              <w:top w:val="single" w:color="auto" w:sz="4" w:space="0"/>
              <w:left w:val="single" w:color="auto" w:sz="4" w:space="0"/>
              <w:right w:val="single" w:color="auto" w:sz="4" w:space="0"/>
            </w:tcBorders>
            <w:shd w:val="clear" w:color="auto" w:fill="FFFFFF"/>
            <w:vAlign w:val="center"/>
          </w:tcPr>
          <w:p>
            <w:pPr>
              <w:pStyle w:val="20"/>
              <w:spacing w:before="80" w:line="240" w:lineRule="auto"/>
              <w:ind w:firstLine="0"/>
              <w:jc w:val="center"/>
              <w:rPr>
                <w:color w:val="auto"/>
              </w:rPr>
            </w:pPr>
            <w:r>
              <w:rPr>
                <w:color w:val="auto"/>
              </w:rPr>
              <w:t>专业资质</w:t>
            </w:r>
          </w:p>
        </w:tc>
      </w:tr>
      <w:tr>
        <w:tblPrEx>
          <w:tblCellMar>
            <w:top w:w="0" w:type="dxa"/>
            <w:left w:w="10" w:type="dxa"/>
            <w:bottom w:w="0" w:type="dxa"/>
            <w:right w:w="10" w:type="dxa"/>
          </w:tblCellMar>
        </w:tblPrEx>
        <w:trPr>
          <w:trHeight w:val="370" w:hRule="exact"/>
          <w:jc w:val="center"/>
        </w:trPr>
        <w:tc>
          <w:tcPr>
            <w:tcW w:w="1061" w:type="dxa"/>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一级甲等</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4</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4</w:t>
            </w:r>
          </w:p>
        </w:tc>
        <w:tc>
          <w:tcPr>
            <w:tcW w:w="840" w:type="dxa"/>
            <w:tcBorders>
              <w:top w:val="single" w:color="auto" w:sz="4" w:space="0"/>
              <w:lef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4</w:t>
            </w:r>
          </w:p>
        </w:tc>
        <w:tc>
          <w:tcPr>
            <w:tcW w:w="840" w:type="dxa"/>
            <w:tcBorders>
              <w:top w:val="single" w:color="auto" w:sz="4" w:space="0"/>
              <w:lef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4</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4</w:t>
            </w:r>
          </w:p>
        </w:tc>
        <w:tc>
          <w:tcPr>
            <w:tcW w:w="850"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4</w:t>
            </w:r>
          </w:p>
        </w:tc>
      </w:tr>
      <w:tr>
        <w:tblPrEx>
          <w:tblCellMar>
            <w:top w:w="0" w:type="dxa"/>
            <w:left w:w="10" w:type="dxa"/>
            <w:bottom w:w="0" w:type="dxa"/>
            <w:right w:w="10" w:type="dxa"/>
          </w:tblCellMar>
        </w:tblPrEx>
        <w:trPr>
          <w:trHeight w:val="365" w:hRule="exact"/>
          <w:jc w:val="center"/>
        </w:trPr>
        <w:tc>
          <w:tcPr>
            <w:tcW w:w="1061" w:type="dxa"/>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一级乙等</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4.5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3.5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3.5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3.5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3.5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3.5</w:t>
            </w:r>
          </w:p>
        </w:tc>
        <w:tc>
          <w:tcPr>
            <w:tcW w:w="850"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3.5</w:t>
            </w:r>
          </w:p>
        </w:tc>
      </w:tr>
      <w:tr>
        <w:tblPrEx>
          <w:tblCellMar>
            <w:top w:w="0" w:type="dxa"/>
            <w:left w:w="10" w:type="dxa"/>
            <w:bottom w:w="0" w:type="dxa"/>
            <w:right w:w="10" w:type="dxa"/>
          </w:tblCellMar>
        </w:tblPrEx>
        <w:trPr>
          <w:trHeight w:val="370" w:hRule="exact"/>
          <w:jc w:val="center"/>
        </w:trPr>
        <w:tc>
          <w:tcPr>
            <w:tcW w:w="1061" w:type="dxa"/>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二级甲等</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4</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3</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3</w:t>
            </w:r>
          </w:p>
        </w:tc>
        <w:tc>
          <w:tcPr>
            <w:tcW w:w="840" w:type="dxa"/>
            <w:tcBorders>
              <w:top w:val="single" w:color="auto" w:sz="4" w:space="0"/>
              <w:lef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3</w:t>
            </w:r>
          </w:p>
        </w:tc>
        <w:tc>
          <w:tcPr>
            <w:tcW w:w="840" w:type="dxa"/>
            <w:tcBorders>
              <w:top w:val="single" w:color="auto" w:sz="4" w:space="0"/>
              <w:lef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3</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3</w:t>
            </w:r>
          </w:p>
        </w:tc>
        <w:tc>
          <w:tcPr>
            <w:tcW w:w="850"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3</w:t>
            </w:r>
          </w:p>
        </w:tc>
      </w:tr>
      <w:tr>
        <w:tblPrEx>
          <w:tblCellMar>
            <w:top w:w="0" w:type="dxa"/>
            <w:left w:w="10" w:type="dxa"/>
            <w:bottom w:w="0" w:type="dxa"/>
            <w:right w:w="10" w:type="dxa"/>
          </w:tblCellMar>
        </w:tblPrEx>
        <w:trPr>
          <w:trHeight w:val="370" w:hRule="exact"/>
          <w:jc w:val="center"/>
        </w:trPr>
        <w:tc>
          <w:tcPr>
            <w:tcW w:w="1061" w:type="dxa"/>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二级乙等</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3.5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2.5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2.5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2.5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2.5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2.5</w:t>
            </w:r>
          </w:p>
        </w:tc>
        <w:tc>
          <w:tcPr>
            <w:tcW w:w="850"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2.5</w:t>
            </w:r>
          </w:p>
        </w:tc>
      </w:tr>
      <w:tr>
        <w:tblPrEx>
          <w:tblCellMar>
            <w:top w:w="0" w:type="dxa"/>
            <w:left w:w="10" w:type="dxa"/>
            <w:bottom w:w="0" w:type="dxa"/>
            <w:right w:w="10" w:type="dxa"/>
          </w:tblCellMar>
        </w:tblPrEx>
        <w:trPr>
          <w:trHeight w:val="370" w:hRule="exact"/>
          <w:jc w:val="center"/>
        </w:trPr>
        <w:tc>
          <w:tcPr>
            <w:tcW w:w="1061" w:type="dxa"/>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三级甲等</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3</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2</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2</w:t>
            </w:r>
          </w:p>
        </w:tc>
        <w:tc>
          <w:tcPr>
            <w:tcW w:w="840" w:type="dxa"/>
            <w:tcBorders>
              <w:top w:val="single" w:color="auto" w:sz="4" w:space="0"/>
              <w:lef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2</w:t>
            </w:r>
          </w:p>
        </w:tc>
        <w:tc>
          <w:tcPr>
            <w:tcW w:w="840" w:type="dxa"/>
            <w:tcBorders>
              <w:top w:val="single" w:color="auto" w:sz="4" w:space="0"/>
              <w:lef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2</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2</w:t>
            </w:r>
          </w:p>
        </w:tc>
        <w:tc>
          <w:tcPr>
            <w:tcW w:w="850"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2</w:t>
            </w:r>
          </w:p>
        </w:tc>
      </w:tr>
      <w:tr>
        <w:tblPrEx>
          <w:tblCellMar>
            <w:top w:w="0" w:type="dxa"/>
            <w:left w:w="10" w:type="dxa"/>
            <w:bottom w:w="0" w:type="dxa"/>
            <w:right w:w="10" w:type="dxa"/>
          </w:tblCellMar>
        </w:tblPrEx>
        <w:trPr>
          <w:trHeight w:val="370" w:hRule="exact"/>
          <w:jc w:val="center"/>
        </w:trPr>
        <w:tc>
          <w:tcPr>
            <w:tcW w:w="1061" w:type="dxa"/>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三级乙等</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2.5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1.5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1.5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1.5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1.5</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lang w:val="en-US" w:eastAsia="en-US" w:bidi="en-US"/>
              </w:rPr>
            </w:pPr>
            <w:r>
              <w:rPr>
                <w:rFonts w:ascii="Times New Roman" w:hAnsi="Times New Roman"/>
                <w:color w:val="auto"/>
                <w:sz w:val="20"/>
                <w:szCs w:val="17"/>
                <w:lang w:val="en-US" w:eastAsia="en-US" w:bidi="en-US"/>
              </w:rPr>
              <w:t>1</w:t>
            </w:r>
            <w:r>
              <w:rPr>
                <w:rFonts w:hint="eastAsia" w:ascii="Times New Roman" w:hAnsi="Times New Roman"/>
                <w:color w:val="auto"/>
                <w:sz w:val="20"/>
                <w:szCs w:val="17"/>
                <w:lang w:val="en-US" w:eastAsia="zh-CN" w:bidi="en-US"/>
              </w:rPr>
              <w:t>.</w:t>
            </w:r>
            <w:r>
              <w:rPr>
                <w:rFonts w:ascii="Times New Roman" w:hAnsi="Times New Roman"/>
                <w:color w:val="auto"/>
                <w:sz w:val="20"/>
                <w:szCs w:val="17"/>
                <w:lang w:val="en-US" w:eastAsia="en-US" w:bidi="en-US"/>
              </w:rPr>
              <w:t>5</w:t>
            </w:r>
          </w:p>
        </w:tc>
        <w:tc>
          <w:tcPr>
            <w:tcW w:w="850"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1.5</w:t>
            </w:r>
          </w:p>
        </w:tc>
      </w:tr>
      <w:tr>
        <w:tblPrEx>
          <w:tblCellMar>
            <w:top w:w="0" w:type="dxa"/>
            <w:left w:w="10" w:type="dxa"/>
            <w:bottom w:w="0" w:type="dxa"/>
            <w:right w:w="10" w:type="dxa"/>
          </w:tblCellMar>
        </w:tblPrEx>
        <w:trPr>
          <w:trHeight w:val="365" w:hRule="exact"/>
          <w:jc w:val="center"/>
        </w:trPr>
        <w:tc>
          <w:tcPr>
            <w:tcW w:w="1061" w:type="dxa"/>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四级甲等</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2</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w:t>
            </w:r>
          </w:p>
        </w:tc>
        <w:tc>
          <w:tcPr>
            <w:tcW w:w="840" w:type="dxa"/>
            <w:tcBorders>
              <w:top w:val="single" w:color="auto" w:sz="4" w:space="0"/>
              <w:left w:val="single" w:color="auto" w:sz="4" w:space="0"/>
            </w:tcBorders>
            <w:shd w:val="clear" w:color="auto" w:fill="FFFFFF"/>
            <w:vAlign w:val="center"/>
          </w:tcPr>
          <w:p>
            <w:pPr>
              <w:pStyle w:val="20"/>
              <w:spacing w:line="240" w:lineRule="auto"/>
              <w:ind w:firstLine="360"/>
              <w:rPr>
                <w:color w:val="auto"/>
                <w:sz w:val="17"/>
                <w:szCs w:val="17"/>
              </w:rPr>
            </w:pPr>
            <w:r>
              <w:rPr>
                <w:rFonts w:ascii="Times New Roman" w:hAnsi="Times New Roman"/>
                <w:color w:val="auto"/>
                <w:sz w:val="20"/>
                <w:szCs w:val="17"/>
              </w:rPr>
              <w:t>1</w:t>
            </w:r>
          </w:p>
        </w:tc>
        <w:tc>
          <w:tcPr>
            <w:tcW w:w="8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w:t>
            </w:r>
          </w:p>
        </w:tc>
        <w:tc>
          <w:tcPr>
            <w:tcW w:w="850"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360"/>
              <w:rPr>
                <w:color w:val="auto"/>
              </w:rPr>
            </w:pPr>
            <w:r>
              <w:rPr>
                <w:color w:val="auto"/>
              </w:rPr>
              <w:t>/</w:t>
            </w:r>
          </w:p>
        </w:tc>
      </w:tr>
      <w:tr>
        <w:tblPrEx>
          <w:tblCellMar>
            <w:top w:w="0" w:type="dxa"/>
            <w:left w:w="10" w:type="dxa"/>
            <w:bottom w:w="0" w:type="dxa"/>
            <w:right w:w="10" w:type="dxa"/>
          </w:tblCellMar>
        </w:tblPrEx>
        <w:trPr>
          <w:trHeight w:val="379" w:hRule="exact"/>
          <w:jc w:val="center"/>
        </w:trPr>
        <w:tc>
          <w:tcPr>
            <w:tcW w:w="1061"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160"/>
              <w:rPr>
                <w:color w:val="auto"/>
              </w:rPr>
            </w:pPr>
            <w:r>
              <w:rPr>
                <w:color w:val="auto"/>
              </w:rPr>
              <w:t>四级乙等</w:t>
            </w:r>
          </w:p>
        </w:tc>
        <w:tc>
          <w:tcPr>
            <w:tcW w:w="840"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1.5</w:t>
            </w:r>
          </w:p>
        </w:tc>
        <w:tc>
          <w:tcPr>
            <w:tcW w:w="840"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0.5</w:t>
            </w:r>
          </w:p>
        </w:tc>
        <w:tc>
          <w:tcPr>
            <w:tcW w:w="840"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0.5</w:t>
            </w:r>
          </w:p>
        </w:tc>
        <w:tc>
          <w:tcPr>
            <w:tcW w:w="840"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0.5</w:t>
            </w:r>
          </w:p>
        </w:tc>
        <w:tc>
          <w:tcPr>
            <w:tcW w:w="840"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280"/>
              <w:rPr>
                <w:color w:val="auto"/>
                <w:sz w:val="17"/>
                <w:szCs w:val="17"/>
              </w:rPr>
            </w:pPr>
            <w:r>
              <w:rPr>
                <w:rFonts w:ascii="Times New Roman" w:hAnsi="Times New Roman"/>
                <w:color w:val="auto"/>
                <w:sz w:val="20"/>
                <w:szCs w:val="17"/>
                <w:lang w:val="en-US" w:eastAsia="en-US" w:bidi="en-US"/>
              </w:rPr>
              <w:t>0.5</w:t>
            </w:r>
          </w:p>
        </w:tc>
        <w:tc>
          <w:tcPr>
            <w:tcW w:w="840"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0.5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360"/>
              <w:rPr>
                <w:color w:val="auto"/>
              </w:rPr>
            </w:pPr>
            <w:r>
              <w:rPr>
                <w:color w:val="auto"/>
              </w:rPr>
              <w:t>/</w:t>
            </w:r>
          </w:p>
        </w:tc>
      </w:tr>
    </w:tbl>
    <w:p>
      <w:pPr>
        <w:spacing w:after="259" w:line="1" w:lineRule="exact"/>
        <w:rPr>
          <w:color w:val="auto"/>
        </w:rPr>
      </w:pPr>
    </w:p>
    <w:p>
      <w:pPr>
        <w:pStyle w:val="14"/>
        <w:spacing w:after="80" w:line="240" w:lineRule="auto"/>
        <w:ind w:firstLine="0"/>
        <w:jc w:val="center"/>
        <w:rPr>
          <w:b/>
          <w:bCs/>
          <w:color w:val="auto"/>
        </w:rPr>
      </w:pPr>
      <w:r>
        <w:rPr>
          <w:b/>
          <w:bCs/>
          <w:color w:val="auto"/>
        </w:rPr>
        <w:t>表</w:t>
      </w:r>
      <w:r>
        <w:rPr>
          <w:rFonts w:hint="eastAsia" w:ascii="Times New Roman" w:hAnsi="Times New Roman"/>
          <w:b/>
          <w:bCs/>
          <w:color w:val="auto"/>
          <w:sz w:val="20"/>
          <w:szCs w:val="20"/>
          <w:lang w:eastAsia="zh-CN"/>
        </w:rPr>
        <w:t>3</w:t>
      </w:r>
      <w:r>
        <w:rPr>
          <w:b/>
          <w:bCs/>
          <w:color w:val="auto"/>
        </w:rPr>
        <w:t>竞赛对应等级绩点</w:t>
      </w:r>
    </w:p>
    <w:tbl>
      <w:tblPr>
        <w:tblStyle w:val="6"/>
        <w:tblW w:w="0" w:type="auto"/>
        <w:jc w:val="center"/>
        <w:tblLayout w:type="fixed"/>
        <w:tblCellMar>
          <w:top w:w="0" w:type="dxa"/>
          <w:left w:w="10" w:type="dxa"/>
          <w:bottom w:w="0" w:type="dxa"/>
          <w:right w:w="10" w:type="dxa"/>
        </w:tblCellMar>
      </w:tblPr>
      <w:tblGrid>
        <w:gridCol w:w="1051"/>
        <w:gridCol w:w="1051"/>
        <w:gridCol w:w="1046"/>
        <w:gridCol w:w="1051"/>
        <w:gridCol w:w="1061"/>
      </w:tblGrid>
      <w:tr>
        <w:tblPrEx>
          <w:tblCellMar>
            <w:top w:w="0" w:type="dxa"/>
            <w:left w:w="10" w:type="dxa"/>
            <w:bottom w:w="0" w:type="dxa"/>
            <w:right w:w="10" w:type="dxa"/>
          </w:tblCellMar>
        </w:tblPrEx>
        <w:trPr>
          <w:trHeight w:val="374" w:hRule="exact"/>
          <w:jc w:val="center"/>
        </w:trPr>
        <w:tc>
          <w:tcPr>
            <w:tcW w:w="1051" w:type="dxa"/>
            <w:vMerge w:val="restart"/>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竞赛等级</w:t>
            </w:r>
          </w:p>
        </w:tc>
        <w:tc>
          <w:tcPr>
            <w:tcW w:w="4209" w:type="dxa"/>
            <w:gridSpan w:val="4"/>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获奖等次</w:t>
            </w:r>
          </w:p>
        </w:tc>
      </w:tr>
      <w:tr>
        <w:tblPrEx>
          <w:tblCellMar>
            <w:top w:w="0" w:type="dxa"/>
            <w:left w:w="10" w:type="dxa"/>
            <w:bottom w:w="0" w:type="dxa"/>
            <w:right w:w="10" w:type="dxa"/>
          </w:tblCellMar>
        </w:tblPrEx>
        <w:trPr>
          <w:trHeight w:val="370" w:hRule="exact"/>
          <w:jc w:val="center"/>
        </w:trPr>
        <w:tc>
          <w:tcPr>
            <w:tcW w:w="1051" w:type="dxa"/>
            <w:vMerge w:val="continue"/>
            <w:tcBorders>
              <w:left w:val="single" w:color="auto" w:sz="4" w:space="0"/>
            </w:tcBorders>
            <w:shd w:val="clear" w:color="auto" w:fill="FFFFFF"/>
            <w:vAlign w:val="center"/>
          </w:tcPr>
          <w:p>
            <w:pPr>
              <w:rPr>
                <w:color w:val="auto"/>
              </w:rPr>
            </w:pP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第一等次</w:t>
            </w:r>
          </w:p>
        </w:tc>
        <w:tc>
          <w:tcPr>
            <w:tcW w:w="104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第二等次</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第三等次</w:t>
            </w:r>
          </w:p>
        </w:tc>
        <w:tc>
          <w:tcPr>
            <w:tcW w:w="106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其他等次</w:t>
            </w:r>
          </w:p>
        </w:tc>
      </w:tr>
      <w:tr>
        <w:tblPrEx>
          <w:tblCellMar>
            <w:top w:w="0" w:type="dxa"/>
            <w:left w:w="10" w:type="dxa"/>
            <w:bottom w:w="0" w:type="dxa"/>
            <w:right w:w="10" w:type="dxa"/>
          </w:tblCellMar>
        </w:tblPrEx>
        <w:trPr>
          <w:trHeight w:val="370" w:hRule="exact"/>
          <w:jc w:val="center"/>
        </w:trPr>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一级甲等</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A</w:t>
            </w:r>
            <w:r>
              <w:rPr>
                <w:color w:val="auto"/>
                <w:sz w:val="17"/>
                <w:szCs w:val="17"/>
                <w:lang w:val="en-US" w:eastAsia="en-US" w:bidi="en-US"/>
              </w:rPr>
              <w:t>+</w:t>
            </w:r>
          </w:p>
        </w:tc>
        <w:tc>
          <w:tcPr>
            <w:tcW w:w="104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A</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r>
              <w:rPr>
                <w:color w:val="auto"/>
                <w:sz w:val="17"/>
                <w:szCs w:val="17"/>
                <w:lang w:val="en-US" w:eastAsia="en-US" w:bidi="en-US"/>
              </w:rPr>
              <w:t>+</w:t>
            </w:r>
          </w:p>
        </w:tc>
        <w:tc>
          <w:tcPr>
            <w:tcW w:w="106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p>
        </w:tc>
      </w:tr>
      <w:tr>
        <w:tblPrEx>
          <w:tblCellMar>
            <w:top w:w="0" w:type="dxa"/>
            <w:left w:w="10" w:type="dxa"/>
            <w:bottom w:w="0" w:type="dxa"/>
            <w:right w:w="10" w:type="dxa"/>
          </w:tblCellMar>
        </w:tblPrEx>
        <w:trPr>
          <w:trHeight w:val="370" w:hRule="exact"/>
          <w:jc w:val="center"/>
        </w:trPr>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一级乙等</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A</w:t>
            </w:r>
            <w:r>
              <w:rPr>
                <w:color w:val="auto"/>
                <w:sz w:val="17"/>
                <w:szCs w:val="17"/>
                <w:lang w:val="en-US" w:eastAsia="en-US" w:bidi="en-US"/>
              </w:rPr>
              <w:t>+</w:t>
            </w:r>
          </w:p>
        </w:tc>
        <w:tc>
          <w:tcPr>
            <w:tcW w:w="104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A</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r>
              <w:rPr>
                <w:color w:val="auto"/>
                <w:sz w:val="17"/>
                <w:szCs w:val="17"/>
                <w:lang w:val="en-US" w:eastAsia="en-US" w:bidi="en-US"/>
              </w:rPr>
              <w:t>+</w:t>
            </w:r>
          </w:p>
        </w:tc>
        <w:tc>
          <w:tcPr>
            <w:tcW w:w="106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p>
        </w:tc>
      </w:tr>
      <w:tr>
        <w:tblPrEx>
          <w:tblCellMar>
            <w:top w:w="0" w:type="dxa"/>
            <w:left w:w="10" w:type="dxa"/>
            <w:bottom w:w="0" w:type="dxa"/>
            <w:right w:w="10" w:type="dxa"/>
          </w:tblCellMar>
        </w:tblPrEx>
        <w:trPr>
          <w:trHeight w:val="370" w:hRule="exact"/>
          <w:jc w:val="center"/>
        </w:trPr>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二级甲等</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440"/>
              <w:rPr>
                <w:color w:val="auto"/>
                <w:sz w:val="17"/>
                <w:szCs w:val="17"/>
              </w:rPr>
            </w:pPr>
            <w:r>
              <w:rPr>
                <w:rFonts w:ascii="Times New Roman" w:hAnsi="Times New Roman"/>
                <w:color w:val="auto"/>
                <w:sz w:val="20"/>
                <w:szCs w:val="17"/>
                <w:lang w:val="en-US" w:eastAsia="en-US" w:bidi="en-US"/>
              </w:rPr>
              <w:t>A</w:t>
            </w:r>
          </w:p>
        </w:tc>
        <w:tc>
          <w:tcPr>
            <w:tcW w:w="104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r>
              <w:rPr>
                <w:color w:val="auto"/>
                <w:sz w:val="17"/>
                <w:szCs w:val="17"/>
                <w:lang w:val="en-US" w:eastAsia="en-US" w:bidi="en-US"/>
              </w:rPr>
              <w:t>+</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p>
        </w:tc>
        <w:tc>
          <w:tcPr>
            <w:tcW w:w="106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r>
              <w:rPr>
                <w:color w:val="auto"/>
                <w:sz w:val="17"/>
                <w:szCs w:val="17"/>
                <w:lang w:val="en-US" w:eastAsia="en-US" w:bidi="en-US"/>
              </w:rPr>
              <w:t>+</w:t>
            </w:r>
          </w:p>
        </w:tc>
      </w:tr>
      <w:tr>
        <w:tblPrEx>
          <w:tblCellMar>
            <w:top w:w="0" w:type="dxa"/>
            <w:left w:w="10" w:type="dxa"/>
            <w:bottom w:w="0" w:type="dxa"/>
            <w:right w:w="10" w:type="dxa"/>
          </w:tblCellMar>
        </w:tblPrEx>
        <w:trPr>
          <w:trHeight w:val="365" w:hRule="exact"/>
          <w:jc w:val="center"/>
        </w:trPr>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二级乙等</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440"/>
              <w:rPr>
                <w:color w:val="auto"/>
                <w:sz w:val="20"/>
                <w:szCs w:val="20"/>
              </w:rPr>
            </w:pPr>
            <w:r>
              <w:rPr>
                <w:rFonts w:ascii="Times New Roman" w:hAnsi="Times New Roman"/>
                <w:color w:val="auto"/>
                <w:sz w:val="20"/>
                <w:szCs w:val="17"/>
                <w:lang w:val="en-US" w:eastAsia="en-US" w:bidi="en-US"/>
              </w:rPr>
              <w:t>A</w:t>
            </w:r>
          </w:p>
        </w:tc>
        <w:tc>
          <w:tcPr>
            <w:tcW w:w="104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r>
              <w:rPr>
                <w:color w:val="auto"/>
                <w:sz w:val="17"/>
                <w:szCs w:val="17"/>
                <w:lang w:val="en-US" w:eastAsia="en-US" w:bidi="en-US"/>
              </w:rPr>
              <w:t>+</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p>
        </w:tc>
        <w:tc>
          <w:tcPr>
            <w:tcW w:w="106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r>
              <w:rPr>
                <w:color w:val="auto"/>
                <w:sz w:val="17"/>
                <w:szCs w:val="17"/>
                <w:lang w:val="en-US" w:eastAsia="en-US" w:bidi="en-US"/>
              </w:rPr>
              <w:t>+</w:t>
            </w:r>
          </w:p>
        </w:tc>
      </w:tr>
      <w:tr>
        <w:tblPrEx>
          <w:tblCellMar>
            <w:top w:w="0" w:type="dxa"/>
            <w:left w:w="10" w:type="dxa"/>
            <w:bottom w:w="0" w:type="dxa"/>
            <w:right w:w="10" w:type="dxa"/>
          </w:tblCellMar>
        </w:tblPrEx>
        <w:trPr>
          <w:trHeight w:val="370" w:hRule="exact"/>
          <w:jc w:val="center"/>
        </w:trPr>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三级甲等</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r>
              <w:rPr>
                <w:color w:val="auto"/>
                <w:sz w:val="17"/>
                <w:szCs w:val="17"/>
                <w:lang w:val="en-US" w:eastAsia="en-US" w:bidi="en-US"/>
              </w:rPr>
              <w:t>+</w:t>
            </w:r>
          </w:p>
        </w:tc>
        <w:tc>
          <w:tcPr>
            <w:tcW w:w="104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r>
              <w:rPr>
                <w:color w:val="auto"/>
                <w:sz w:val="17"/>
                <w:szCs w:val="17"/>
                <w:lang w:val="en-US" w:eastAsia="en-US" w:bidi="en-US"/>
              </w:rPr>
              <w:t>+</w:t>
            </w:r>
          </w:p>
        </w:tc>
        <w:tc>
          <w:tcPr>
            <w:tcW w:w="106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p>
        </w:tc>
      </w:tr>
      <w:tr>
        <w:tblPrEx>
          <w:tblCellMar>
            <w:top w:w="0" w:type="dxa"/>
            <w:left w:w="10" w:type="dxa"/>
            <w:bottom w:w="0" w:type="dxa"/>
            <w:right w:w="10" w:type="dxa"/>
          </w:tblCellMar>
        </w:tblPrEx>
        <w:trPr>
          <w:trHeight w:val="370" w:hRule="exact"/>
          <w:jc w:val="center"/>
        </w:trPr>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三级乙等</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r>
              <w:rPr>
                <w:color w:val="auto"/>
                <w:sz w:val="17"/>
                <w:szCs w:val="17"/>
                <w:lang w:val="en-US" w:eastAsia="en-US" w:bidi="en-US"/>
              </w:rPr>
              <w:t>+</w:t>
            </w:r>
          </w:p>
        </w:tc>
        <w:tc>
          <w:tcPr>
            <w:tcW w:w="104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p>
        </w:tc>
        <w:tc>
          <w:tcPr>
            <w:tcW w:w="106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p>
        </w:tc>
      </w:tr>
      <w:tr>
        <w:tblPrEx>
          <w:tblCellMar>
            <w:top w:w="0" w:type="dxa"/>
            <w:left w:w="10" w:type="dxa"/>
            <w:bottom w:w="0" w:type="dxa"/>
            <w:right w:w="10" w:type="dxa"/>
          </w:tblCellMar>
        </w:tblPrEx>
        <w:trPr>
          <w:trHeight w:val="370" w:hRule="exact"/>
          <w:jc w:val="center"/>
        </w:trPr>
        <w:tc>
          <w:tcPr>
            <w:tcW w:w="1051"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四级甲等</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440"/>
              <w:rPr>
                <w:color w:val="auto"/>
                <w:sz w:val="17"/>
                <w:szCs w:val="17"/>
              </w:rPr>
            </w:pPr>
            <w:r>
              <w:rPr>
                <w:rFonts w:ascii="Times New Roman" w:hAnsi="Times New Roman"/>
                <w:color w:val="auto"/>
                <w:sz w:val="20"/>
                <w:szCs w:val="17"/>
                <w:lang w:val="en-US" w:eastAsia="en-US" w:bidi="en-US"/>
              </w:rPr>
              <w:t>C</w:t>
            </w:r>
          </w:p>
        </w:tc>
        <w:tc>
          <w:tcPr>
            <w:tcW w:w="104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D</w:t>
            </w:r>
            <w:r>
              <w:rPr>
                <w:color w:val="auto"/>
                <w:sz w:val="17"/>
                <w:szCs w:val="17"/>
                <w:lang w:val="en-US" w:eastAsia="en-US" w:bidi="en-US"/>
              </w:rPr>
              <w:t>+</w:t>
            </w:r>
          </w:p>
        </w:tc>
        <w:tc>
          <w:tcPr>
            <w:tcW w:w="1051" w:type="dxa"/>
            <w:tcBorders>
              <w:top w:val="single" w:color="auto" w:sz="4" w:space="0"/>
              <w:left w:val="single" w:color="auto" w:sz="4" w:space="0"/>
            </w:tcBorders>
            <w:shd w:val="clear" w:color="auto" w:fill="FFFFFF"/>
            <w:vAlign w:val="center"/>
          </w:tcPr>
          <w:p>
            <w:pPr>
              <w:pStyle w:val="20"/>
              <w:spacing w:line="240" w:lineRule="auto"/>
              <w:ind w:firstLine="440"/>
              <w:rPr>
                <w:color w:val="auto"/>
                <w:sz w:val="17"/>
                <w:szCs w:val="17"/>
              </w:rPr>
            </w:pPr>
            <w:r>
              <w:rPr>
                <w:rFonts w:ascii="Times New Roman" w:hAnsi="Times New Roman"/>
                <w:color w:val="auto"/>
                <w:sz w:val="20"/>
                <w:szCs w:val="17"/>
                <w:lang w:val="en-US" w:eastAsia="en-US" w:bidi="en-US"/>
              </w:rPr>
              <w:t>D</w:t>
            </w:r>
          </w:p>
        </w:tc>
        <w:tc>
          <w:tcPr>
            <w:tcW w:w="106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lang w:eastAsia="zh-CN"/>
              </w:rPr>
            </w:pPr>
            <w:r>
              <w:rPr>
                <w:rFonts w:hint="eastAsia" w:ascii="Times New Roman" w:hAnsi="Times New Roman"/>
                <w:color w:val="auto"/>
                <w:sz w:val="20"/>
                <w:szCs w:val="17"/>
                <w:lang w:eastAsia="zh-CN"/>
              </w:rPr>
              <w:t>D</w:t>
            </w:r>
          </w:p>
        </w:tc>
      </w:tr>
      <w:tr>
        <w:tblPrEx>
          <w:tblCellMar>
            <w:top w:w="0" w:type="dxa"/>
            <w:left w:w="10" w:type="dxa"/>
            <w:bottom w:w="0" w:type="dxa"/>
            <w:right w:w="10" w:type="dxa"/>
          </w:tblCellMar>
        </w:tblPrEx>
        <w:trPr>
          <w:trHeight w:val="374" w:hRule="exact"/>
          <w:jc w:val="center"/>
        </w:trPr>
        <w:tc>
          <w:tcPr>
            <w:tcW w:w="1051"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rPr>
            </w:pPr>
            <w:r>
              <w:rPr>
                <w:color w:val="auto"/>
              </w:rPr>
              <w:t>四级乙等</w:t>
            </w:r>
          </w:p>
        </w:tc>
        <w:tc>
          <w:tcPr>
            <w:tcW w:w="1051"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rFonts w:ascii="Times New Roman" w:hAnsi="Times New Roman"/>
                <w:color w:val="auto"/>
                <w:sz w:val="20"/>
                <w:szCs w:val="17"/>
                <w:lang w:val="en-US" w:eastAsia="en-US" w:bidi="en-US"/>
              </w:rPr>
            </w:pPr>
            <w:r>
              <w:rPr>
                <w:rFonts w:ascii="Times New Roman" w:hAnsi="Times New Roman"/>
                <w:color w:val="auto"/>
                <w:sz w:val="20"/>
                <w:szCs w:val="17"/>
                <w:lang w:val="en-US" w:eastAsia="en-US" w:bidi="en-US"/>
              </w:rPr>
              <w:t>C</w:t>
            </w:r>
          </w:p>
        </w:tc>
        <w:tc>
          <w:tcPr>
            <w:tcW w:w="1046"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D</w:t>
            </w:r>
            <w:r>
              <w:rPr>
                <w:color w:val="auto"/>
                <w:sz w:val="17"/>
                <w:szCs w:val="17"/>
                <w:lang w:val="en-US" w:eastAsia="en-US" w:bidi="en-US"/>
              </w:rPr>
              <w:t>+</w:t>
            </w:r>
          </w:p>
        </w:tc>
        <w:tc>
          <w:tcPr>
            <w:tcW w:w="1051"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440"/>
              <w:rPr>
                <w:color w:val="auto"/>
                <w:sz w:val="17"/>
                <w:szCs w:val="17"/>
              </w:rPr>
            </w:pPr>
            <w:r>
              <w:rPr>
                <w:rFonts w:ascii="Times New Roman" w:hAnsi="Times New Roman"/>
                <w:color w:val="auto"/>
                <w:sz w:val="20"/>
                <w:szCs w:val="17"/>
                <w:lang w:val="en-US" w:eastAsia="en-US" w:bidi="en-US"/>
              </w:rPr>
              <w:t>D</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w:t>
            </w:r>
          </w:p>
        </w:tc>
      </w:tr>
    </w:tbl>
    <w:p>
      <w:pPr>
        <w:spacing w:line="1" w:lineRule="exact"/>
        <w:rPr>
          <w:color w:val="auto"/>
          <w:sz w:val="2"/>
          <w:szCs w:val="2"/>
        </w:rPr>
      </w:pPr>
      <w:r>
        <w:rPr>
          <w:color w:val="auto"/>
        </w:rPr>
        <w:br w:type="page"/>
      </w:r>
    </w:p>
    <w:p>
      <w:pPr>
        <w:pStyle w:val="14"/>
        <w:spacing w:after="80" w:line="240" w:lineRule="auto"/>
        <w:ind w:firstLine="0"/>
        <w:jc w:val="center"/>
        <w:rPr>
          <w:b/>
          <w:bCs/>
          <w:color w:val="auto"/>
        </w:rPr>
      </w:pPr>
      <w:r>
        <w:rPr>
          <w:b/>
          <w:bCs/>
          <w:color w:val="auto"/>
        </w:rPr>
        <w:t>表</w:t>
      </w:r>
      <w:r>
        <w:rPr>
          <w:rFonts w:ascii="Times New Roman" w:hAnsi="Times New Roman" w:eastAsia="Times New Roman" w:cs="Times New Roman"/>
          <w:b/>
          <w:bCs/>
          <w:color w:val="auto"/>
          <w:sz w:val="20"/>
          <w:szCs w:val="20"/>
          <w:lang w:val="zh-CN" w:eastAsia="zh-CN" w:bidi="zh-CN"/>
        </w:rPr>
        <w:t>4</w:t>
      </w:r>
      <w:r>
        <w:rPr>
          <w:b/>
          <w:bCs/>
          <w:color w:val="auto"/>
        </w:rPr>
        <w:t>等级绩点与课程绩点对照表</w:t>
      </w:r>
    </w:p>
    <w:tbl>
      <w:tblPr>
        <w:tblStyle w:val="6"/>
        <w:tblW w:w="0" w:type="auto"/>
        <w:jc w:val="center"/>
        <w:tblLayout w:type="fixed"/>
        <w:tblCellMar>
          <w:top w:w="0" w:type="dxa"/>
          <w:left w:w="10" w:type="dxa"/>
          <w:bottom w:w="0" w:type="dxa"/>
          <w:right w:w="10" w:type="dxa"/>
        </w:tblCellMar>
      </w:tblPr>
      <w:tblGrid>
        <w:gridCol w:w="2515"/>
        <w:gridCol w:w="2952"/>
      </w:tblGrid>
      <w:tr>
        <w:tblPrEx>
          <w:tblCellMar>
            <w:top w:w="0" w:type="dxa"/>
            <w:left w:w="10" w:type="dxa"/>
            <w:bottom w:w="0" w:type="dxa"/>
            <w:right w:w="10" w:type="dxa"/>
          </w:tblCellMar>
        </w:tblPrEx>
        <w:trPr>
          <w:trHeight w:val="408"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等级绩点</w:t>
            </w:r>
          </w:p>
        </w:tc>
        <w:tc>
          <w:tcPr>
            <w:tcW w:w="2952"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课程绩点</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A</w:t>
            </w:r>
            <w:r>
              <w:rPr>
                <w:color w:val="auto"/>
                <w:sz w:val="17"/>
                <w:szCs w:val="17"/>
                <w:lang w:val="en-US" w:eastAsia="en-US" w:bidi="en-US"/>
              </w:rPr>
              <w:t>+</w:t>
            </w:r>
          </w:p>
        </w:tc>
        <w:tc>
          <w:tcPr>
            <w:tcW w:w="2952"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4.5</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A</w:t>
            </w:r>
          </w:p>
        </w:tc>
        <w:tc>
          <w:tcPr>
            <w:tcW w:w="2952"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4.0</w:t>
            </w:r>
          </w:p>
        </w:tc>
      </w:tr>
      <w:tr>
        <w:tblPrEx>
          <w:tblCellMar>
            <w:top w:w="0" w:type="dxa"/>
            <w:left w:w="10" w:type="dxa"/>
            <w:bottom w:w="0" w:type="dxa"/>
            <w:right w:w="10" w:type="dxa"/>
          </w:tblCellMar>
        </w:tblPrEx>
        <w:trPr>
          <w:trHeight w:val="408"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r>
              <w:rPr>
                <w:color w:val="auto"/>
                <w:sz w:val="17"/>
                <w:szCs w:val="17"/>
                <w:lang w:val="en-US" w:eastAsia="en-US" w:bidi="en-US"/>
              </w:rPr>
              <w:t>+</w:t>
            </w:r>
          </w:p>
        </w:tc>
        <w:tc>
          <w:tcPr>
            <w:tcW w:w="2952"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3.5</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p>
        </w:tc>
        <w:tc>
          <w:tcPr>
            <w:tcW w:w="2952"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3.0</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r>
              <w:rPr>
                <w:color w:val="auto"/>
                <w:sz w:val="17"/>
                <w:szCs w:val="17"/>
                <w:lang w:val="en-US" w:eastAsia="en-US" w:bidi="en-US"/>
              </w:rPr>
              <w:t>+</w:t>
            </w:r>
          </w:p>
        </w:tc>
        <w:tc>
          <w:tcPr>
            <w:tcW w:w="2952"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2.5</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p>
        </w:tc>
        <w:tc>
          <w:tcPr>
            <w:tcW w:w="2952"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2.0</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D</w:t>
            </w:r>
            <w:r>
              <w:rPr>
                <w:color w:val="auto"/>
                <w:sz w:val="17"/>
                <w:szCs w:val="17"/>
                <w:lang w:val="en-US" w:eastAsia="en-US" w:bidi="en-US"/>
              </w:rPr>
              <w:t>+</w:t>
            </w:r>
          </w:p>
        </w:tc>
        <w:tc>
          <w:tcPr>
            <w:tcW w:w="2952"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1.5</w:t>
            </w:r>
          </w:p>
        </w:tc>
      </w:tr>
      <w:tr>
        <w:tblPrEx>
          <w:tblCellMar>
            <w:top w:w="0" w:type="dxa"/>
            <w:left w:w="10" w:type="dxa"/>
            <w:bottom w:w="0" w:type="dxa"/>
            <w:right w:w="10" w:type="dxa"/>
          </w:tblCellMar>
        </w:tblPrEx>
        <w:trPr>
          <w:trHeight w:val="408" w:hRule="exact"/>
          <w:jc w:val="center"/>
        </w:trPr>
        <w:tc>
          <w:tcPr>
            <w:tcW w:w="251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D</w:t>
            </w:r>
          </w:p>
        </w:tc>
        <w:tc>
          <w:tcPr>
            <w:tcW w:w="29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w:t>
            </w:r>
          </w:p>
        </w:tc>
      </w:tr>
    </w:tbl>
    <w:p>
      <w:pPr>
        <w:spacing w:after="259" w:line="1" w:lineRule="exact"/>
        <w:rPr>
          <w:color w:val="auto"/>
        </w:rPr>
      </w:pPr>
    </w:p>
    <w:p>
      <w:pPr>
        <w:pStyle w:val="14"/>
        <w:spacing w:after="80" w:line="240" w:lineRule="auto"/>
        <w:ind w:firstLine="0"/>
        <w:jc w:val="center"/>
        <w:rPr>
          <w:b/>
          <w:bCs/>
          <w:color w:val="auto"/>
        </w:rPr>
      </w:pPr>
      <w:r>
        <w:rPr>
          <w:b/>
          <w:bCs/>
          <w:color w:val="auto"/>
        </w:rPr>
        <w:t>表</w:t>
      </w:r>
      <w:r>
        <w:rPr>
          <w:rFonts w:ascii="Times New Roman" w:hAnsi="Times New Roman" w:eastAsia="Times New Roman" w:cs="Times New Roman"/>
          <w:b/>
          <w:bCs/>
          <w:color w:val="auto"/>
          <w:sz w:val="20"/>
          <w:szCs w:val="20"/>
        </w:rPr>
        <w:t>5</w:t>
      </w:r>
      <w:r>
        <w:rPr>
          <w:b/>
          <w:bCs/>
          <w:color w:val="auto"/>
        </w:rPr>
        <w:t>等级绩点与提升绩点对照表</w:t>
      </w:r>
    </w:p>
    <w:tbl>
      <w:tblPr>
        <w:tblStyle w:val="6"/>
        <w:tblW w:w="0" w:type="auto"/>
        <w:jc w:val="center"/>
        <w:tblLayout w:type="fixed"/>
        <w:tblCellMar>
          <w:top w:w="0" w:type="dxa"/>
          <w:left w:w="10" w:type="dxa"/>
          <w:bottom w:w="0" w:type="dxa"/>
          <w:right w:w="10" w:type="dxa"/>
        </w:tblCellMar>
      </w:tblPr>
      <w:tblGrid>
        <w:gridCol w:w="2515"/>
        <w:gridCol w:w="2534"/>
      </w:tblGrid>
      <w:tr>
        <w:tblPrEx>
          <w:tblCellMar>
            <w:top w:w="0" w:type="dxa"/>
            <w:left w:w="10" w:type="dxa"/>
            <w:bottom w:w="0" w:type="dxa"/>
            <w:right w:w="10" w:type="dxa"/>
          </w:tblCellMar>
        </w:tblPrEx>
        <w:trPr>
          <w:trHeight w:val="408"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等级绩点</w:t>
            </w:r>
          </w:p>
        </w:tc>
        <w:tc>
          <w:tcPr>
            <w:tcW w:w="2534"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提升绩点</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A</w:t>
            </w:r>
            <w:r>
              <w:rPr>
                <w:color w:val="auto"/>
                <w:sz w:val="17"/>
                <w:szCs w:val="17"/>
                <w:lang w:val="en-US" w:eastAsia="en-US" w:bidi="en-US"/>
              </w:rPr>
              <w:t>+</w:t>
            </w:r>
          </w:p>
        </w:tc>
        <w:tc>
          <w:tcPr>
            <w:tcW w:w="2534"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w:t>
            </w:r>
          </w:p>
        </w:tc>
      </w:tr>
      <w:tr>
        <w:tblPrEx>
          <w:tblCellMar>
            <w:top w:w="0" w:type="dxa"/>
            <w:left w:w="10" w:type="dxa"/>
            <w:bottom w:w="0" w:type="dxa"/>
            <w:right w:w="10" w:type="dxa"/>
          </w:tblCellMar>
        </w:tblPrEx>
        <w:trPr>
          <w:trHeight w:val="408"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A</w:t>
            </w:r>
          </w:p>
        </w:tc>
        <w:tc>
          <w:tcPr>
            <w:tcW w:w="2534"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0.85</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r>
              <w:rPr>
                <w:color w:val="auto"/>
                <w:sz w:val="17"/>
                <w:szCs w:val="17"/>
                <w:lang w:val="en-US" w:eastAsia="en-US" w:bidi="en-US"/>
              </w:rPr>
              <w:t>+</w:t>
            </w:r>
          </w:p>
        </w:tc>
        <w:tc>
          <w:tcPr>
            <w:tcW w:w="2534"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0.7</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B</w:t>
            </w:r>
          </w:p>
        </w:tc>
        <w:tc>
          <w:tcPr>
            <w:tcW w:w="2534"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0.55</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r>
              <w:rPr>
                <w:color w:val="auto"/>
                <w:sz w:val="17"/>
                <w:szCs w:val="17"/>
                <w:lang w:val="en-US" w:eastAsia="en-US" w:bidi="en-US"/>
              </w:rPr>
              <w:t>+</w:t>
            </w:r>
          </w:p>
        </w:tc>
        <w:tc>
          <w:tcPr>
            <w:tcW w:w="2534"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0.4</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C</w:t>
            </w:r>
          </w:p>
        </w:tc>
        <w:tc>
          <w:tcPr>
            <w:tcW w:w="2534"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0.25</w:t>
            </w:r>
          </w:p>
        </w:tc>
      </w:tr>
      <w:tr>
        <w:tblPrEx>
          <w:tblCellMar>
            <w:top w:w="0" w:type="dxa"/>
            <w:left w:w="10" w:type="dxa"/>
            <w:bottom w:w="0" w:type="dxa"/>
            <w:right w:w="10" w:type="dxa"/>
          </w:tblCellMar>
        </w:tblPrEx>
        <w:trPr>
          <w:trHeight w:val="403" w:hRule="exact"/>
          <w:jc w:val="center"/>
        </w:trPr>
        <w:tc>
          <w:tcPr>
            <w:tcW w:w="251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D</w:t>
            </w:r>
            <w:r>
              <w:rPr>
                <w:color w:val="auto"/>
                <w:sz w:val="17"/>
                <w:szCs w:val="17"/>
                <w:lang w:val="en-US" w:eastAsia="en-US" w:bidi="en-US"/>
              </w:rPr>
              <w:t>+</w:t>
            </w:r>
          </w:p>
        </w:tc>
        <w:tc>
          <w:tcPr>
            <w:tcW w:w="2534"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0.1</w:t>
            </w:r>
          </w:p>
        </w:tc>
      </w:tr>
      <w:tr>
        <w:tblPrEx>
          <w:tblCellMar>
            <w:top w:w="0" w:type="dxa"/>
            <w:left w:w="10" w:type="dxa"/>
            <w:bottom w:w="0" w:type="dxa"/>
            <w:right w:w="10" w:type="dxa"/>
          </w:tblCellMar>
        </w:tblPrEx>
        <w:trPr>
          <w:trHeight w:val="408" w:hRule="exact"/>
          <w:jc w:val="center"/>
        </w:trPr>
        <w:tc>
          <w:tcPr>
            <w:tcW w:w="2515"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D</w:t>
            </w:r>
          </w:p>
        </w:tc>
        <w:tc>
          <w:tcPr>
            <w:tcW w:w="2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0.05</w:t>
            </w:r>
          </w:p>
        </w:tc>
      </w:tr>
    </w:tbl>
    <w:p>
      <w:pPr>
        <w:rPr>
          <w:rFonts w:ascii="宋体" w:hAnsi="宋体"/>
          <w:color w:val="auto"/>
          <w:sz w:val="38"/>
          <w:szCs w:val="38"/>
          <w:lang w:val="zh-TW" w:eastAsia="zh-TW" w:bidi="zh-TW"/>
        </w:rPr>
      </w:pPr>
      <w:bookmarkStart w:id="201" w:name="bookmark262"/>
      <w:bookmarkStart w:id="202" w:name="bookmark261"/>
      <w:bookmarkStart w:id="203" w:name="bookmark263"/>
      <w:r>
        <w:rPr>
          <w:color w:val="auto"/>
        </w:rPr>
        <w:br w:type="page"/>
      </w:r>
    </w:p>
    <w:bookmarkEnd w:id="201"/>
    <w:bookmarkEnd w:id="202"/>
    <w:bookmarkEnd w:id="203"/>
    <w:p>
      <w:pPr>
        <w:spacing w:line="360" w:lineRule="auto"/>
        <w:jc w:val="center"/>
        <w:rPr>
          <w:rFonts w:hint="eastAsia" w:cs="Times New Roman"/>
          <w:b w:val="0"/>
          <w:bCs/>
          <w:kern w:val="2"/>
          <w:sz w:val="38"/>
          <w:szCs w:val="38"/>
          <w:lang w:eastAsia="zh-CN" w:bidi="ar-SA"/>
        </w:rPr>
      </w:pPr>
      <w:bookmarkStart w:id="204" w:name="bookmark269"/>
      <w:r>
        <w:rPr>
          <w:rFonts w:hint="eastAsia" w:cs="Times New Roman"/>
          <w:b w:val="0"/>
          <w:bCs/>
          <w:kern w:val="2"/>
          <w:sz w:val="38"/>
          <w:szCs w:val="38"/>
          <w:lang w:eastAsia="zh-CN" w:bidi="ar-SA"/>
        </w:rPr>
        <w:t>南京航空航天大学金城学院</w:t>
      </w:r>
    </w:p>
    <w:p>
      <w:pPr>
        <w:spacing w:line="360" w:lineRule="auto"/>
        <w:jc w:val="center"/>
        <w:rPr>
          <w:rFonts w:hint="eastAsia" w:ascii="宋体" w:hAnsi="宋体" w:eastAsia="宋体" w:cs="宋体"/>
          <w:color w:val="000000"/>
          <w:kern w:val="0"/>
          <w:sz w:val="18"/>
          <w:szCs w:val="18"/>
          <w:lang w:val="en-US" w:eastAsia="zh-CN" w:bidi="ar"/>
        </w:rPr>
      </w:pPr>
      <w:r>
        <w:rPr>
          <w:rFonts w:hint="eastAsia" w:cs="Times New Roman"/>
          <w:b w:val="0"/>
          <w:bCs/>
          <w:kern w:val="2"/>
          <w:sz w:val="38"/>
          <w:szCs w:val="38"/>
          <w:lang w:eastAsia="zh-CN" w:bidi="ar-SA"/>
        </w:rPr>
        <w:t>学士学位授予暂行办法</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360" w:firstLineChars="200"/>
        <w:jc w:val="both"/>
        <w:textAlignment w:val="auto"/>
        <w:rPr>
          <w:rFonts w:hint="eastAsia"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 xml:space="preserve"> 为贯彻《中华人民共和国学位条例》，根据《中华人民共和国学位条例暂行实施办法》和《江苏省普通高校学士学位授予工作暂行管理办法》的要求，结合我校实际情况，制定南京航空航天大学金城学院全日制普通本科毕业生学士学位授予办法。</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具备下列条件者，经学校学位评定委员会审议批准，授予学士学位：</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准予毕业的全日制本科生。</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拥护中国共产党的领导，拥护社会主义制度，愿意为社会主义建设事业服务，遵守社会主义法制，品行端正。</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较好地掌握本门学科的基础理论、专业知识和基本技能。</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在学校规定的学习年限内，修满本专业教学计划规定的全部课程，且平均学分绩点大于或等于2.0。</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无留校察看处分（或已解除留校察看处分）。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学士学位授予工作程序：学院学位评定分委员会对毕业生的政治思想表现、学业成绩和毕业鉴定逐个进行审核，提出初审名单，提交学校学位评定委员会；学校学位评定委员会对申请学士学位名单进行审议和表决通过后颁发学士学位证书。</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因未满足第二条规定而未获得学士学位的毕业生，在离校后两年内达到学士学位授予条件，可重新申请授予学士学位。</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结业生换发毕业证书后，学位的申请参照第四条规定执行。</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如发现学位错授或有舞弊行为者，由教学科研处提交学校学位评定委员会复议后撤销已授予的学士学位。</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360" w:firstLineChars="200"/>
        <w:jc w:val="both"/>
        <w:textAlignment w:val="auto"/>
        <w:rPr>
          <w:rFonts w:hint="default" w:ascii="宋体" w:hAnsi="宋体" w:cs="宋体"/>
          <w:b w:val="0"/>
          <w:bCs w:val="0"/>
          <w:color w:val="000000"/>
          <w:kern w:val="0"/>
          <w:sz w:val="18"/>
          <w:szCs w:val="18"/>
          <w:lang w:val="en-US" w:eastAsia="zh-CN" w:bidi="ar"/>
        </w:rPr>
      </w:pPr>
      <w:r>
        <w:rPr>
          <w:rFonts w:hint="default" w:ascii="宋体" w:hAnsi="宋体" w:cs="宋体"/>
          <w:b w:val="0"/>
          <w:bCs w:val="0"/>
          <w:color w:val="000000"/>
          <w:kern w:val="0"/>
          <w:sz w:val="18"/>
          <w:szCs w:val="18"/>
          <w:lang w:val="en-US" w:eastAsia="zh-CN" w:bidi="ar"/>
        </w:rPr>
        <w:t>本办法自颁布之日起执行，由学校授权教学科研处负责解释。</w:t>
      </w:r>
    </w:p>
    <w:p>
      <w:pPr>
        <w:numPr>
          <w:ilvl w:val="0"/>
          <w:numId w:val="6"/>
        </w:numPr>
        <w:jc w:val="center"/>
        <w:rPr>
          <w:rFonts w:ascii="宋体" w:hAnsi="宋体"/>
          <w:color w:val="auto"/>
          <w:sz w:val="38"/>
          <w:szCs w:val="38"/>
          <w:lang w:val="zh-TW" w:eastAsia="zh-TW" w:bidi="zh-TW"/>
        </w:rPr>
      </w:pPr>
      <w:r>
        <w:rPr>
          <w:color w:val="auto"/>
          <w:lang w:eastAsia="zh-CN"/>
        </w:rPr>
        <w:br w:type="page"/>
      </w:r>
    </w:p>
    <w:p>
      <w:pPr>
        <w:pStyle w:val="12"/>
        <w:keepNext/>
        <w:keepLines/>
        <w:spacing w:before="0" w:after="140" w:line="240" w:lineRule="auto"/>
        <w:rPr>
          <w:rFonts w:hint="eastAsia" w:eastAsia="宋体"/>
          <w:color w:val="auto"/>
          <w:lang w:eastAsia="zh-CN"/>
        </w:rPr>
      </w:pPr>
      <w:r>
        <w:rPr>
          <w:color w:val="auto"/>
        </w:rPr>
        <w:t>南京航空航天大学金城学院</w:t>
      </w:r>
      <w:bookmarkEnd w:id="204"/>
      <w:bookmarkStart w:id="205" w:name="bookmark270"/>
      <w:bookmarkStart w:id="206" w:name="bookmark268"/>
      <w:bookmarkStart w:id="207" w:name="bookmark267"/>
    </w:p>
    <w:p>
      <w:pPr>
        <w:pStyle w:val="12"/>
        <w:keepNext/>
        <w:keepLines/>
        <w:spacing w:before="0" w:after="140" w:line="240" w:lineRule="auto"/>
        <w:rPr>
          <w:color w:val="auto"/>
        </w:rPr>
      </w:pPr>
      <w:r>
        <w:rPr>
          <w:color w:val="auto"/>
        </w:rPr>
        <w:t>本科生参加国际合作交流项目学习管理办法</w:t>
      </w:r>
      <w:bookmarkEnd w:id="205"/>
      <w:bookmarkEnd w:id="206"/>
      <w:bookmarkEnd w:id="207"/>
    </w:p>
    <w:p>
      <w:pPr>
        <w:pStyle w:val="14"/>
        <w:spacing w:line="302" w:lineRule="exact"/>
        <w:ind w:firstLine="420"/>
        <w:jc w:val="both"/>
        <w:rPr>
          <w:color w:val="auto"/>
        </w:rPr>
      </w:pPr>
      <w:r>
        <w:rPr>
          <w:color w:val="auto"/>
        </w:rPr>
        <w:t>为了保证我校中外交流工作健康、有序地开展，除执行我校本科生学籍管理办法外</w:t>
      </w:r>
      <w:r>
        <w:rPr>
          <w:rFonts w:hint="eastAsia"/>
          <w:color w:val="auto"/>
        </w:rPr>
        <w:t>，</w:t>
      </w:r>
      <w:r>
        <w:rPr>
          <w:color w:val="auto"/>
        </w:rPr>
        <w:t>特对参加国际合作交流项目学生的选拔和学籍管理等工作制定本办法。</w:t>
      </w:r>
    </w:p>
    <w:p>
      <w:pPr>
        <w:pStyle w:val="14"/>
        <w:spacing w:line="302" w:lineRule="exact"/>
        <w:ind w:firstLine="420"/>
        <w:jc w:val="both"/>
        <w:rPr>
          <w:color w:val="auto"/>
        </w:rPr>
      </w:pPr>
      <w:r>
        <w:rPr>
          <w:b/>
          <w:bCs/>
          <w:color w:val="auto"/>
        </w:rPr>
        <w:t>第一条</w:t>
      </w:r>
      <w:r>
        <w:rPr>
          <w:rFonts w:hint="eastAsia"/>
          <w:b/>
          <w:bCs/>
          <w:color w:val="auto"/>
          <w:lang w:val="en-US" w:eastAsia="zh-CN"/>
        </w:rPr>
        <w:t xml:space="preserve"> </w:t>
      </w:r>
      <w:r>
        <w:rPr>
          <w:color w:val="auto"/>
        </w:rPr>
        <w:t>本科教育国际合作交流项目的管理</w:t>
      </w:r>
    </w:p>
    <w:p>
      <w:pPr>
        <w:pStyle w:val="14"/>
        <w:spacing w:line="302" w:lineRule="exact"/>
        <w:ind w:firstLine="420"/>
        <w:jc w:val="both"/>
        <w:rPr>
          <w:color w:val="auto"/>
        </w:rPr>
      </w:pPr>
      <w:r>
        <w:rPr>
          <w:color w:val="auto"/>
        </w:rPr>
        <w:t>（一）本科生国际合作交流项目指的是学校和国（境）外高校间已签订正式合作协议的项目。参加学生为在籍的本科生，统称为国际交流学生。</w:t>
      </w:r>
    </w:p>
    <w:p>
      <w:pPr>
        <w:pStyle w:val="14"/>
        <w:spacing w:line="302" w:lineRule="exact"/>
        <w:ind w:firstLine="420"/>
        <w:jc w:val="both"/>
        <w:rPr>
          <w:color w:val="auto"/>
        </w:rPr>
      </w:pPr>
      <w:r>
        <w:rPr>
          <w:color w:val="auto"/>
        </w:rPr>
        <w:t>（二）所有本科生国际合作交流项目均须到教学科研处备案。</w:t>
      </w:r>
    </w:p>
    <w:p>
      <w:pPr>
        <w:pStyle w:val="14"/>
        <w:spacing w:line="302" w:lineRule="exact"/>
        <w:ind w:firstLine="420"/>
        <w:jc w:val="both"/>
        <w:rPr>
          <w:color w:val="auto"/>
        </w:rPr>
      </w:pPr>
      <w:r>
        <w:rPr>
          <w:color w:val="auto"/>
        </w:rPr>
        <w:t>（三）国际合作交流项目的学籍管理由国际教育学院和教学科研处负责，具体组织落实工作由国际教育学院相关项目责任人负责。</w:t>
      </w:r>
    </w:p>
    <w:p>
      <w:pPr>
        <w:pStyle w:val="14"/>
        <w:spacing w:line="302" w:lineRule="exact"/>
        <w:ind w:firstLine="420"/>
        <w:jc w:val="both"/>
        <w:rPr>
          <w:color w:val="auto"/>
        </w:rPr>
      </w:pPr>
      <w:r>
        <w:rPr>
          <w:color w:val="auto"/>
        </w:rPr>
        <w:t>（四）国际交流学生的选拔、派出以及出国（境）前培训、项目规定期间境外学习、生活等相关事宜由国际教育学院统一负责联络和处理。</w:t>
      </w:r>
    </w:p>
    <w:p>
      <w:pPr>
        <w:pStyle w:val="14"/>
        <w:spacing w:line="302" w:lineRule="exact"/>
        <w:ind w:firstLine="420"/>
        <w:jc w:val="both"/>
        <w:rPr>
          <w:color w:val="auto"/>
        </w:rPr>
      </w:pPr>
      <w:r>
        <w:rPr>
          <w:b/>
          <w:bCs/>
          <w:color w:val="auto"/>
        </w:rPr>
        <w:t>第二条</w:t>
      </w:r>
      <w:r>
        <w:rPr>
          <w:rFonts w:hint="eastAsia"/>
          <w:b/>
          <w:bCs/>
          <w:color w:val="auto"/>
          <w:lang w:val="en-US" w:eastAsia="zh-CN"/>
        </w:rPr>
        <w:t xml:space="preserve"> </w:t>
      </w:r>
      <w:r>
        <w:rPr>
          <w:color w:val="auto"/>
        </w:rPr>
        <w:t>培养形式</w:t>
      </w:r>
    </w:p>
    <w:p>
      <w:pPr>
        <w:pStyle w:val="14"/>
        <w:spacing w:line="302" w:lineRule="exact"/>
        <w:ind w:firstLine="420"/>
        <w:jc w:val="both"/>
        <w:rPr>
          <w:color w:val="auto"/>
        </w:rPr>
      </w:pPr>
      <w:r>
        <w:rPr>
          <w:color w:val="auto"/>
        </w:rPr>
        <w:t>（一）国际交流学生在国外交流、学习的时间分为短期和长期两类。短期为学生在四年的本科学习阶段内，通过交流方式到国（境）外高校学习两周（含行前培训）以上，学校承认其取得学分；长期为校际间合作，学生在国（境）外学习的时间一般为两个月以上。根据国际合作交流项目的不同，有双方授予学士学位、中方授予学士学位和国（境）外高校授予硕士学位等多种形式。国际交流学生须按照国际交流办学协议的要求，选择专业、确定修读课程的实践科目。</w:t>
      </w:r>
    </w:p>
    <w:p>
      <w:pPr>
        <w:pStyle w:val="14"/>
        <w:spacing w:line="302" w:lineRule="exact"/>
        <w:ind w:firstLine="420"/>
        <w:jc w:val="both"/>
        <w:rPr>
          <w:color w:val="auto"/>
        </w:rPr>
      </w:pPr>
      <w:r>
        <w:rPr>
          <w:color w:val="auto"/>
        </w:rPr>
        <w:t>（二）国际交流学生在赴国（境）外高校进行本科阶段学习期间，保留南京航空航天大学金城学院学籍不变，但因延长学习年限等原因，出现不能如期毕业等情况时，必须及时向南京航空航天大学金城学院提出延长学习年限和保留学籍的申请，南京航空航天大学金城学院将根据学校的学籍管理办法做出是否继续保留其学籍的决定。国际交流学生如不具有南京航空航天大学金城学院的学籍，将不再享有南京航空航天大学金城学院学生的权益。</w:t>
      </w:r>
    </w:p>
    <w:p>
      <w:pPr>
        <w:pStyle w:val="14"/>
        <w:spacing w:line="302" w:lineRule="exact"/>
        <w:ind w:firstLine="420"/>
        <w:jc w:val="both"/>
        <w:rPr>
          <w:color w:val="auto"/>
        </w:rPr>
      </w:pPr>
      <w:r>
        <w:rPr>
          <w:color w:val="auto"/>
        </w:rPr>
        <w:t>（三）国际交流学生在规定时间内完成学业后，其在南京航空航天大学金城学院和国（境）外高校完成的课程、学分作为毕业、申请学位资格的审核依据。国际交流学生是否可以获取国（境）外高校学位证书等，以国际交流项目协议的规定为准。</w:t>
      </w:r>
    </w:p>
    <w:p>
      <w:pPr>
        <w:pStyle w:val="14"/>
        <w:spacing w:line="302" w:lineRule="exact"/>
        <w:ind w:firstLine="420"/>
        <w:jc w:val="both"/>
        <w:rPr>
          <w:color w:val="auto"/>
        </w:rPr>
      </w:pPr>
      <w:r>
        <w:rPr>
          <w:b/>
          <w:bCs/>
          <w:color w:val="auto"/>
        </w:rPr>
        <w:t>第三条</w:t>
      </w:r>
      <w:r>
        <w:rPr>
          <w:rFonts w:hint="eastAsia"/>
          <w:b/>
          <w:bCs/>
          <w:color w:val="auto"/>
          <w:lang w:val="en-US" w:eastAsia="zh-CN"/>
        </w:rPr>
        <w:t xml:space="preserve"> </w:t>
      </w:r>
      <w:r>
        <w:rPr>
          <w:color w:val="auto"/>
        </w:rPr>
        <w:t>选拔条件及程序</w:t>
      </w:r>
    </w:p>
    <w:p>
      <w:pPr>
        <w:pStyle w:val="14"/>
        <w:spacing w:line="302" w:lineRule="exact"/>
        <w:ind w:firstLine="420"/>
        <w:jc w:val="both"/>
        <w:rPr>
          <w:color w:val="auto"/>
        </w:rPr>
      </w:pPr>
      <w:r>
        <w:rPr>
          <w:color w:val="auto"/>
        </w:rPr>
        <w:t>（一）参加国际交流的学生须是南京航空航天大学金城学院在籍的品学优良的本科生，家庭具有支持其完成国（境）外学习的经济能力。</w:t>
      </w:r>
    </w:p>
    <w:p>
      <w:pPr>
        <w:pStyle w:val="14"/>
        <w:spacing w:line="302" w:lineRule="exact"/>
        <w:ind w:firstLine="420"/>
        <w:jc w:val="both"/>
        <w:rPr>
          <w:color w:val="auto"/>
        </w:rPr>
      </w:pPr>
      <w:r>
        <w:rPr>
          <w:color w:val="auto"/>
        </w:rPr>
        <w:t>（二）学习成绩合格，按教学计划规定已取得了相应学年要求的学分。</w:t>
      </w:r>
    </w:p>
    <w:p>
      <w:pPr>
        <w:pStyle w:val="14"/>
        <w:spacing w:line="302" w:lineRule="exact"/>
        <w:ind w:firstLine="420"/>
        <w:jc w:val="both"/>
        <w:rPr>
          <w:color w:val="auto"/>
        </w:rPr>
      </w:pPr>
      <w:r>
        <w:rPr>
          <w:color w:val="auto"/>
        </w:rPr>
        <w:t>（三）具有较强的自学能力、实践能力以及良好的生活自理能力。</w:t>
      </w:r>
    </w:p>
    <w:p>
      <w:pPr>
        <w:pStyle w:val="14"/>
        <w:spacing w:line="302" w:lineRule="exact"/>
        <w:ind w:firstLine="420"/>
        <w:jc w:val="both"/>
        <w:rPr>
          <w:color w:val="auto"/>
        </w:rPr>
      </w:pPr>
      <w:r>
        <w:rPr>
          <w:color w:val="auto"/>
        </w:rPr>
        <w:t>（四）有较强的外语应用能力。</w:t>
      </w:r>
    </w:p>
    <w:p>
      <w:pPr>
        <w:pStyle w:val="14"/>
        <w:spacing w:after="140" w:line="302" w:lineRule="exact"/>
        <w:ind w:firstLine="420"/>
        <w:jc w:val="both"/>
        <w:rPr>
          <w:color w:val="auto"/>
        </w:rPr>
      </w:pPr>
      <w:r>
        <w:rPr>
          <w:color w:val="auto"/>
        </w:rPr>
        <w:t>（五）根据国际教育学院公布的合作教育项目，由学生本人提出申请参加项目，经学生所在学院初审后报国际教育学院，国际教育学院终审后将确定参加国际交流的学生名单提交国（境）外高校审核通过后，由国际教育学院公示学生名单，报教学科研处备案。</w:t>
      </w:r>
    </w:p>
    <w:p>
      <w:pPr>
        <w:pStyle w:val="14"/>
        <w:spacing w:line="301" w:lineRule="exact"/>
        <w:ind w:firstLine="420"/>
        <w:jc w:val="both"/>
        <w:rPr>
          <w:color w:val="auto"/>
        </w:rPr>
      </w:pPr>
      <w:r>
        <w:rPr>
          <w:b/>
          <w:bCs/>
          <w:color w:val="auto"/>
        </w:rPr>
        <w:t>第四条</w:t>
      </w:r>
      <w:r>
        <w:rPr>
          <w:rFonts w:hint="eastAsia"/>
          <w:b/>
          <w:bCs/>
          <w:color w:val="auto"/>
          <w:lang w:val="en-US" w:eastAsia="zh-CN"/>
        </w:rPr>
        <w:t xml:space="preserve"> </w:t>
      </w:r>
      <w:r>
        <w:rPr>
          <w:color w:val="auto"/>
        </w:rPr>
        <w:t>学生管理</w:t>
      </w:r>
    </w:p>
    <w:p>
      <w:pPr>
        <w:pStyle w:val="14"/>
        <w:spacing w:line="301" w:lineRule="exact"/>
        <w:ind w:firstLine="420"/>
        <w:jc w:val="both"/>
        <w:rPr>
          <w:color w:val="auto"/>
        </w:rPr>
      </w:pPr>
      <w:r>
        <w:rPr>
          <w:color w:val="auto"/>
        </w:rPr>
        <w:t>（一）国际交流学生必须遵守双方学校的校纪校规。在国（境）外学习期间，须遵守当地的法律法规，接受合作方学校按其学籍管理规定进行的管理。</w:t>
      </w:r>
    </w:p>
    <w:p>
      <w:pPr>
        <w:pStyle w:val="14"/>
        <w:spacing w:line="301" w:lineRule="exact"/>
        <w:ind w:firstLine="420"/>
        <w:jc w:val="both"/>
        <w:rPr>
          <w:color w:val="auto"/>
        </w:rPr>
      </w:pPr>
      <w:r>
        <w:rPr>
          <w:color w:val="auto"/>
        </w:rPr>
        <w:t>（二）国际交流学生因故需中止国际交流项目的学习，必须向双方学校提申请，经批准后方可停止相应的学习，返回南京航空航天大学金城学院原专业学习。</w:t>
      </w:r>
    </w:p>
    <w:p>
      <w:pPr>
        <w:pStyle w:val="14"/>
        <w:spacing w:line="301" w:lineRule="exact"/>
        <w:ind w:firstLine="420"/>
        <w:jc w:val="both"/>
        <w:rPr>
          <w:color w:val="auto"/>
        </w:rPr>
      </w:pPr>
      <w:r>
        <w:rPr>
          <w:color w:val="auto"/>
        </w:rPr>
        <w:t>（三）国际交流学生在学习期满后，须按时办理毕业和学位申请手续，因过期未办理相关手续，造成未获得毕业证书和失去学位申请资格的，学校将不承担责任。</w:t>
      </w:r>
    </w:p>
    <w:p>
      <w:pPr>
        <w:pStyle w:val="14"/>
        <w:spacing w:line="301" w:lineRule="exact"/>
        <w:ind w:firstLine="420"/>
        <w:jc w:val="both"/>
        <w:rPr>
          <w:color w:val="auto"/>
        </w:rPr>
      </w:pPr>
      <w:r>
        <w:rPr>
          <w:color w:val="auto"/>
        </w:rPr>
        <w:t>（四）国际交流学生在学习期满后，须按计划及时回校注册（报到），不得擅自延长学习时间或转往其它地区或国家，逾期未归者，学校将按其自动退学处理。</w:t>
      </w:r>
    </w:p>
    <w:p>
      <w:pPr>
        <w:pStyle w:val="14"/>
        <w:spacing w:line="301" w:lineRule="exact"/>
        <w:jc w:val="both"/>
        <w:rPr>
          <w:color w:val="auto"/>
        </w:rPr>
      </w:pPr>
      <w:r>
        <w:rPr>
          <w:b/>
          <w:bCs/>
          <w:color w:val="auto"/>
        </w:rPr>
        <w:t>第五条</w:t>
      </w:r>
      <w:r>
        <w:rPr>
          <w:rFonts w:hint="eastAsia"/>
          <w:b/>
          <w:bCs/>
          <w:color w:val="auto"/>
          <w:lang w:val="en-US" w:eastAsia="zh-CN"/>
        </w:rPr>
        <w:t xml:space="preserve"> </w:t>
      </w:r>
      <w:r>
        <w:rPr>
          <w:color w:val="auto"/>
        </w:rPr>
        <w:t>成绩认定与记载</w:t>
      </w:r>
    </w:p>
    <w:p>
      <w:pPr>
        <w:pStyle w:val="14"/>
        <w:spacing w:line="301" w:lineRule="exact"/>
        <w:ind w:firstLine="420"/>
        <w:jc w:val="both"/>
        <w:rPr>
          <w:color w:val="auto"/>
        </w:rPr>
      </w:pPr>
      <w:r>
        <w:rPr>
          <w:color w:val="auto"/>
        </w:rPr>
        <w:t>（一）国际交流学生在国（境）外学习结束后，我校根据对方学校提供的成绩单，承认其在国（境）外高校所修读的规定学分。</w:t>
      </w:r>
    </w:p>
    <w:p>
      <w:pPr>
        <w:pStyle w:val="14"/>
        <w:spacing w:line="301" w:lineRule="exact"/>
        <w:ind w:firstLine="420"/>
        <w:jc w:val="both"/>
        <w:rPr>
          <w:color w:val="auto"/>
        </w:rPr>
      </w:pPr>
      <w:r>
        <w:rPr>
          <w:color w:val="auto"/>
        </w:rPr>
        <w:t>（二）国际交流学生在国（境）外高校修读的课程，认定工作由学生所在学院负责，并将认定结果报教学科研处审核并备案。</w:t>
      </w:r>
    </w:p>
    <w:p>
      <w:pPr>
        <w:pStyle w:val="14"/>
        <w:spacing w:line="301" w:lineRule="exact"/>
        <w:ind w:firstLine="420"/>
        <w:jc w:val="both"/>
        <w:rPr>
          <w:color w:val="auto"/>
        </w:rPr>
      </w:pPr>
      <w:r>
        <w:rPr>
          <w:color w:val="auto"/>
        </w:rPr>
        <w:t>（三）长期在国（境）外高校学习的国际交流学生，课程成绩按学年学分替换，在档案中保存境外高校学习成绩单原件，境外高校学习的课程不再进行转换记载。</w:t>
      </w:r>
    </w:p>
    <w:p>
      <w:pPr>
        <w:pStyle w:val="14"/>
        <w:spacing w:after="80" w:line="301" w:lineRule="exact"/>
        <w:ind w:firstLine="420"/>
        <w:jc w:val="both"/>
        <w:rPr>
          <w:color w:val="auto"/>
        </w:rPr>
      </w:pPr>
      <w:r>
        <w:rPr>
          <w:color w:val="auto"/>
        </w:rPr>
        <w:t>（四）短期在国（境）外高校学习的国际交流学生，课程成绩以对方学校提供的成绩评定标准并结合我</w:t>
      </w:r>
      <w:r>
        <w:rPr>
          <w:rFonts w:hint="eastAsia"/>
          <w:color w:val="auto"/>
          <w:lang w:val="en-US" w:eastAsia="zh-CN"/>
        </w:rPr>
        <w:t>校</w:t>
      </w:r>
      <w:r>
        <w:rPr>
          <w:color w:val="auto"/>
        </w:rPr>
        <w:t>成绩评定标准进行相应转换：</w:t>
      </w:r>
    </w:p>
    <w:p>
      <w:pPr>
        <w:pStyle w:val="14"/>
        <w:tabs>
          <w:tab w:val="left" w:pos="745"/>
        </w:tabs>
        <w:spacing w:line="314" w:lineRule="auto"/>
        <w:ind w:left="420" w:firstLine="0"/>
        <w:jc w:val="both"/>
        <w:rPr>
          <w:color w:val="auto"/>
        </w:rPr>
      </w:pPr>
      <w:bookmarkStart w:id="208" w:name="bookmark291"/>
      <w:bookmarkEnd w:id="208"/>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对方学校成绩评定标准与我校标准相同则直接转换；</w:t>
      </w:r>
    </w:p>
    <w:p>
      <w:pPr>
        <w:pStyle w:val="14"/>
        <w:tabs>
          <w:tab w:val="left" w:pos="766"/>
        </w:tabs>
        <w:spacing w:line="314" w:lineRule="auto"/>
        <w:ind w:left="420" w:firstLine="0"/>
        <w:jc w:val="both"/>
        <w:rPr>
          <w:color w:val="auto"/>
        </w:rPr>
      </w:pPr>
      <w:bookmarkStart w:id="209" w:name="bookmark292"/>
      <w:bookmarkEnd w:id="209"/>
      <w:r>
        <w:rPr>
          <w:rFonts w:ascii="Times New Roman" w:hAnsi="Times New Roman" w:eastAsia="PMingLiU"/>
          <w:color w:val="auto"/>
          <w:sz w:val="20"/>
        </w:rPr>
        <w:t>2.</w:t>
      </w:r>
      <w:r>
        <w:rPr>
          <w:color w:val="auto"/>
        </w:rPr>
        <w:t>对方学校按</w:t>
      </w:r>
      <w:r>
        <w:rPr>
          <w:rFonts w:ascii="Times New Roman" w:hAnsi="Times New Roman" w:eastAsia="Times New Roman" w:cs="Times New Roman"/>
          <w:color w:val="auto"/>
          <w:sz w:val="20"/>
          <w:szCs w:val="20"/>
          <w:lang w:val="en-US" w:eastAsia="zh-CN" w:bidi="en-US"/>
        </w:rPr>
        <w:t>A</w:t>
      </w:r>
      <w:r>
        <w:rPr>
          <w:color w:val="auto"/>
          <w:lang w:val="en-US" w:eastAsia="zh-CN" w:bidi="en-US"/>
        </w:rPr>
        <w:t>、</w:t>
      </w:r>
      <w:r>
        <w:rPr>
          <w:rFonts w:ascii="Times New Roman" w:hAnsi="Times New Roman" w:eastAsia="Times New Roman" w:cs="Times New Roman"/>
          <w:color w:val="auto"/>
          <w:sz w:val="20"/>
          <w:szCs w:val="20"/>
          <w:lang w:val="en-US" w:eastAsia="zh-CN" w:bidi="en-US"/>
        </w:rPr>
        <w:t>B</w:t>
      </w:r>
      <w:r>
        <w:rPr>
          <w:color w:val="auto"/>
          <w:lang w:val="en-US" w:eastAsia="zh-CN" w:bidi="en-US"/>
        </w:rPr>
        <w:t>、</w:t>
      </w:r>
      <w:r>
        <w:rPr>
          <w:rFonts w:ascii="Times New Roman" w:hAnsi="Times New Roman" w:eastAsia="Times New Roman" w:cs="Times New Roman"/>
          <w:color w:val="auto"/>
          <w:sz w:val="20"/>
          <w:szCs w:val="20"/>
          <w:lang w:val="en-US" w:eastAsia="zh-CN" w:bidi="en-US"/>
        </w:rPr>
        <w:t>C</w:t>
      </w:r>
      <w:r>
        <w:rPr>
          <w:color w:val="auto"/>
          <w:lang w:val="en-US" w:eastAsia="zh-CN" w:bidi="en-US"/>
        </w:rPr>
        <w:t>、</w:t>
      </w:r>
      <w:r>
        <w:rPr>
          <w:rFonts w:ascii="Times New Roman" w:hAnsi="Times New Roman" w:eastAsia="Times New Roman" w:cs="Times New Roman"/>
          <w:color w:val="auto"/>
          <w:sz w:val="20"/>
          <w:szCs w:val="20"/>
          <w:lang w:val="en-US" w:eastAsia="zh-CN" w:bidi="en-US"/>
        </w:rPr>
        <w:t>D</w:t>
      </w:r>
      <w:r>
        <w:rPr>
          <w:color w:val="auto"/>
          <w:lang w:val="en-US" w:eastAsia="zh-CN" w:bidi="en-US"/>
        </w:rPr>
        <w:t>、</w:t>
      </w:r>
      <w:r>
        <w:rPr>
          <w:rFonts w:ascii="Times New Roman" w:hAnsi="Times New Roman" w:eastAsia="Times New Roman" w:cs="Times New Roman"/>
          <w:color w:val="auto"/>
          <w:sz w:val="20"/>
          <w:szCs w:val="20"/>
          <w:lang w:val="en-US" w:eastAsia="zh-CN" w:bidi="en-US"/>
        </w:rPr>
        <w:t>E</w:t>
      </w:r>
      <w:r>
        <w:rPr>
          <w:color w:val="auto"/>
        </w:rPr>
        <w:t>五等评定时，按以下原则转换为百分制：</w:t>
      </w:r>
      <w:r>
        <w:rPr>
          <w:rFonts w:ascii="Times New Roman" w:hAnsi="Times New Roman" w:eastAsia="Times New Roman" w:cs="Times New Roman"/>
          <w:color w:val="auto"/>
          <w:sz w:val="20"/>
          <w:szCs w:val="20"/>
          <w:lang w:val="en-US" w:eastAsia="zh-CN" w:bidi="en-US"/>
        </w:rPr>
        <w:t>A=95</w:t>
      </w:r>
      <w:r>
        <w:rPr>
          <w:color w:val="auto"/>
        </w:rPr>
        <w:t>分、</w:t>
      </w:r>
      <w:r>
        <w:rPr>
          <w:rFonts w:ascii="Times New Roman" w:hAnsi="Times New Roman" w:eastAsia="Times New Roman" w:cs="Times New Roman"/>
          <w:color w:val="auto"/>
          <w:sz w:val="20"/>
          <w:szCs w:val="20"/>
          <w:lang w:val="en-US" w:eastAsia="zh-CN" w:bidi="en-US"/>
        </w:rPr>
        <w:t>B=85</w:t>
      </w:r>
      <w:r>
        <w:rPr>
          <w:color w:val="auto"/>
        </w:rPr>
        <w:t>分、</w:t>
      </w:r>
      <w:r>
        <w:rPr>
          <w:rFonts w:ascii="Times New Roman" w:hAnsi="Times New Roman" w:eastAsia="Times New Roman" w:cs="Times New Roman"/>
          <w:color w:val="auto"/>
          <w:sz w:val="20"/>
          <w:szCs w:val="20"/>
          <w:lang w:val="en-US" w:eastAsia="zh-CN" w:bidi="en-US"/>
        </w:rPr>
        <w:t>C=75</w:t>
      </w:r>
      <w:r>
        <w:rPr>
          <w:color w:val="auto"/>
        </w:rPr>
        <w:t>分、</w:t>
      </w:r>
      <w:r>
        <w:rPr>
          <w:rFonts w:ascii="Times New Roman" w:hAnsi="Times New Roman" w:eastAsia="Times New Roman" w:cs="Times New Roman"/>
          <w:color w:val="auto"/>
          <w:sz w:val="20"/>
          <w:szCs w:val="20"/>
          <w:lang w:val="en-US" w:eastAsia="zh-CN" w:bidi="en-US"/>
        </w:rPr>
        <w:t>D=65</w:t>
      </w:r>
      <w:r>
        <w:rPr>
          <w:color w:val="auto"/>
        </w:rPr>
        <w:t>分、</w:t>
      </w:r>
      <w:r>
        <w:rPr>
          <w:rFonts w:ascii="Times New Roman" w:hAnsi="Times New Roman" w:eastAsia="Times New Roman" w:cs="Times New Roman"/>
          <w:color w:val="auto"/>
          <w:sz w:val="20"/>
          <w:szCs w:val="20"/>
          <w:lang w:val="en-US" w:eastAsia="zh-CN" w:bidi="en-US"/>
        </w:rPr>
        <w:t>E</w:t>
      </w:r>
      <w:r>
        <w:rPr>
          <w:color w:val="auto"/>
        </w:rPr>
        <w:t>=不及格；</w:t>
      </w:r>
    </w:p>
    <w:p>
      <w:pPr>
        <w:pStyle w:val="14"/>
        <w:tabs>
          <w:tab w:val="left" w:pos="776"/>
        </w:tabs>
        <w:spacing w:line="301" w:lineRule="exact"/>
        <w:ind w:left="420" w:firstLine="0"/>
        <w:jc w:val="both"/>
        <w:rPr>
          <w:color w:val="auto"/>
        </w:rPr>
      </w:pPr>
      <w:bookmarkStart w:id="210" w:name="bookmark293"/>
      <w:bookmarkEnd w:id="210"/>
      <w:r>
        <w:rPr>
          <w:rFonts w:hint="eastAsia" w:ascii="Times New Roman" w:hAnsi="Times New Roman" w:eastAsiaTheme="minorEastAsia"/>
          <w:color w:val="auto"/>
          <w:sz w:val="20"/>
          <w:lang w:eastAsia="zh-CN"/>
        </w:rPr>
        <w:t>3</w:t>
      </w:r>
      <w:r>
        <w:rPr>
          <w:rFonts w:ascii="Times New Roman" w:hAnsi="Times New Roman" w:eastAsia="PMingLiU"/>
          <w:color w:val="auto"/>
          <w:sz w:val="20"/>
        </w:rPr>
        <w:t>.</w:t>
      </w:r>
      <w:r>
        <w:rPr>
          <w:color w:val="auto"/>
        </w:rPr>
        <w:t>对方学校的成绩评定为其它标准时，由学生所在专业分析其评定标准，确定对应的转换标准并报教学科处审核通过。</w:t>
      </w:r>
    </w:p>
    <w:p>
      <w:pPr>
        <w:pStyle w:val="14"/>
        <w:spacing w:after="80" w:line="301" w:lineRule="exact"/>
        <w:ind w:firstLine="420"/>
        <w:jc w:val="both"/>
        <w:rPr>
          <w:color w:val="auto"/>
        </w:rPr>
      </w:pPr>
      <w:r>
        <w:rPr>
          <w:color w:val="auto"/>
        </w:rPr>
        <w:t>（五）由于国（境）外高校的教学计划、教学内容存在诸多不一致，课程设置上必然存在很大差异，除能够进行相应转换学分替代的课程外对于经院（部）认定必须补修的课程，可采用以下方法处理：</w:t>
      </w:r>
    </w:p>
    <w:p>
      <w:pPr>
        <w:pStyle w:val="14"/>
        <w:tabs>
          <w:tab w:val="left" w:pos="745"/>
        </w:tabs>
        <w:spacing w:line="314" w:lineRule="auto"/>
        <w:ind w:left="420" w:firstLine="0"/>
        <w:jc w:val="both"/>
        <w:rPr>
          <w:color w:val="auto"/>
        </w:rPr>
      </w:pPr>
      <w:bookmarkStart w:id="211" w:name="bookmark295"/>
      <w:bookmarkEnd w:id="211"/>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国际交流学生回校后，可随下届学生继续修读该课程；</w:t>
      </w:r>
    </w:p>
    <w:p>
      <w:pPr>
        <w:pStyle w:val="14"/>
        <w:tabs>
          <w:tab w:val="left" w:pos="771"/>
        </w:tabs>
        <w:spacing w:line="301" w:lineRule="exact"/>
        <w:ind w:left="420" w:firstLine="0"/>
        <w:jc w:val="both"/>
        <w:rPr>
          <w:color w:val="auto"/>
        </w:rPr>
      </w:pPr>
      <w:bookmarkStart w:id="212" w:name="bookmark296"/>
      <w:bookmarkEnd w:id="212"/>
      <w:r>
        <w:rPr>
          <w:rFonts w:ascii="Times New Roman" w:hAnsi="Times New Roman" w:eastAsia="PMingLiU"/>
          <w:color w:val="auto"/>
          <w:sz w:val="20"/>
        </w:rPr>
        <w:t>2.</w:t>
      </w:r>
      <w:r>
        <w:rPr>
          <w:color w:val="auto"/>
        </w:rPr>
        <w:t>如时间允许，国际交流学生可于考前向任课教师提出申请，参加同届学生相关课程的考试。</w:t>
      </w:r>
    </w:p>
    <w:p>
      <w:pPr>
        <w:pStyle w:val="14"/>
        <w:spacing w:line="301" w:lineRule="exact"/>
        <w:ind w:firstLine="420"/>
        <w:jc w:val="both"/>
        <w:rPr>
          <w:color w:val="auto"/>
        </w:rPr>
      </w:pPr>
      <w:r>
        <w:rPr>
          <w:b/>
          <w:bCs/>
          <w:color w:val="auto"/>
        </w:rPr>
        <w:t>第六条</w:t>
      </w:r>
      <w:r>
        <w:rPr>
          <w:rFonts w:hint="eastAsia"/>
          <w:b/>
          <w:bCs/>
          <w:color w:val="auto"/>
          <w:lang w:val="en-US" w:eastAsia="zh-CN"/>
        </w:rPr>
        <w:t xml:space="preserve"> </w:t>
      </w:r>
      <w:r>
        <w:rPr>
          <w:color w:val="auto"/>
        </w:rPr>
        <w:t>学杂费收取办法</w:t>
      </w:r>
    </w:p>
    <w:p>
      <w:pPr>
        <w:pStyle w:val="14"/>
        <w:spacing w:line="278" w:lineRule="exact"/>
        <w:ind w:firstLine="420"/>
        <w:jc w:val="both"/>
        <w:rPr>
          <w:color w:val="auto"/>
        </w:rPr>
      </w:pPr>
      <w:r>
        <w:rPr>
          <w:color w:val="auto"/>
        </w:rPr>
        <w:t>凡具有南京航空航天大学金城学院学籍，在国（境）外完成学业后，由南京航空航天大学金城学院按规定颁发本科毕业文凭的国际交流学生，在派出前，需一次性缴清在国（境）外学习期间应缴给南京航空航天大学金城学院的学费，否则不得办理派出手续。</w:t>
      </w:r>
    </w:p>
    <w:p>
      <w:pPr>
        <w:pStyle w:val="14"/>
        <w:spacing w:line="301" w:lineRule="exact"/>
        <w:ind w:firstLine="420"/>
        <w:jc w:val="both"/>
        <w:rPr>
          <w:rFonts w:eastAsia="PMingLiU"/>
          <w:color w:val="auto"/>
        </w:rPr>
      </w:pPr>
      <w:r>
        <w:rPr>
          <w:b/>
          <w:bCs/>
          <w:color w:val="auto"/>
        </w:rPr>
        <w:t>第七条</w:t>
      </w:r>
      <w:r>
        <w:rPr>
          <w:rFonts w:hint="eastAsia"/>
          <w:b/>
          <w:bCs/>
          <w:color w:val="auto"/>
          <w:lang w:val="en-US" w:eastAsia="zh-CN"/>
        </w:rPr>
        <w:t xml:space="preserve"> </w:t>
      </w:r>
      <w:r>
        <w:rPr>
          <w:color w:val="auto"/>
        </w:rPr>
        <w:t>本规定未尽事宜，由国际教育学院、教学科研处负责解释。</w:t>
      </w:r>
    </w:p>
    <w:p>
      <w:pPr>
        <w:rPr>
          <w:rFonts w:ascii="宋体" w:hAnsi="宋体"/>
          <w:color w:val="auto"/>
          <w:sz w:val="38"/>
          <w:szCs w:val="38"/>
          <w:lang w:val="zh-TW" w:eastAsia="zh-TW" w:bidi="zh-TW"/>
        </w:rPr>
      </w:pPr>
      <w:bookmarkStart w:id="213" w:name="bookmark299"/>
      <w:bookmarkStart w:id="214" w:name="bookmark298"/>
      <w:bookmarkStart w:id="215" w:name="bookmark297"/>
      <w:r>
        <w:rPr>
          <w:color w:val="auto"/>
          <w:lang w:eastAsia="zh-CN"/>
        </w:rPr>
        <w:br w:type="page"/>
      </w:r>
    </w:p>
    <w:bookmarkEnd w:id="213"/>
    <w:bookmarkEnd w:id="214"/>
    <w:bookmarkEnd w:id="215"/>
    <w:p>
      <w:pPr>
        <w:pStyle w:val="12"/>
        <w:keepNext/>
        <w:keepLines/>
        <w:spacing w:before="680" w:after="480" w:line="595" w:lineRule="exact"/>
        <w:rPr>
          <w:color w:val="auto"/>
        </w:rPr>
      </w:pPr>
      <w:r>
        <w:rPr>
          <w:color w:val="auto"/>
          <w:highlight w:val="none"/>
        </w:rPr>
        <w:t>南京航空航天大学金城学院</w:t>
      </w:r>
      <w:r>
        <w:rPr>
          <w:color w:val="auto"/>
          <w:highlight w:val="none"/>
        </w:rPr>
        <w:br w:type="textWrapping"/>
      </w:r>
      <w:r>
        <w:rPr>
          <w:color w:val="auto"/>
          <w:highlight w:val="none"/>
        </w:rPr>
        <w:t>境外高校交流学生管理办法</w:t>
      </w:r>
    </w:p>
    <w:p>
      <w:pPr>
        <w:pStyle w:val="18"/>
        <w:keepNext/>
        <w:keepLines/>
        <w:rPr>
          <w:color w:val="auto"/>
        </w:rPr>
      </w:pPr>
      <w:bookmarkStart w:id="216" w:name="bookmark300"/>
      <w:bookmarkStart w:id="217" w:name="bookmark302"/>
      <w:bookmarkStart w:id="218" w:name="bookmark301"/>
      <w:r>
        <w:rPr>
          <w:color w:val="auto"/>
        </w:rPr>
        <w:t>第一章总则</w:t>
      </w:r>
      <w:bookmarkEnd w:id="216"/>
      <w:bookmarkEnd w:id="217"/>
      <w:bookmarkEnd w:id="218"/>
    </w:p>
    <w:p>
      <w:pPr>
        <w:pStyle w:val="14"/>
        <w:spacing w:line="302" w:lineRule="exact"/>
        <w:ind w:firstLine="420"/>
        <w:jc w:val="both"/>
        <w:rPr>
          <w:color w:val="auto"/>
        </w:rPr>
      </w:pPr>
      <w:r>
        <w:rPr>
          <w:b/>
          <w:bCs/>
          <w:color w:val="auto"/>
        </w:rPr>
        <w:t>第一条</w:t>
      </w:r>
      <w:r>
        <w:rPr>
          <w:color w:val="auto"/>
        </w:rPr>
        <w:t>为落实学校</w:t>
      </w:r>
      <w:r>
        <w:rPr>
          <w:color w:val="auto"/>
          <w:lang w:val="zh-CN" w:eastAsia="zh-CN" w:bidi="zh-CN"/>
        </w:rPr>
        <w:t>“</w:t>
      </w:r>
      <w:r>
        <w:rPr>
          <w:rFonts w:hint="eastAsia"/>
          <w:color w:val="auto"/>
          <w:lang w:val="zh-CN" w:eastAsia="zh-CN" w:bidi="zh-CN"/>
        </w:rPr>
        <w:t>‘</w:t>
      </w:r>
      <w:r>
        <w:rPr>
          <w:color w:val="auto"/>
          <w:lang w:val="zh-CN" w:eastAsia="zh-CN" w:bidi="zh-CN"/>
        </w:rPr>
        <w:t>十</w:t>
      </w:r>
      <w:r>
        <w:rPr>
          <w:color w:val="auto"/>
        </w:rPr>
        <w:t>三五'规划”，全面深化我校</w:t>
      </w:r>
      <w:r>
        <w:rPr>
          <w:color w:val="auto"/>
          <w:lang w:val="zh-CN" w:eastAsia="zh-CN" w:bidi="zh-CN"/>
        </w:rPr>
        <w:t>“国</w:t>
      </w:r>
      <w:r>
        <w:rPr>
          <w:color w:val="auto"/>
        </w:rPr>
        <w:t>际化”发展战略，进一步规范我校学生海外高校交流培养的统一管理，提升我校学生国际视野，加强相关职能部门和学院的管理职责，特制定本管理办法。</w:t>
      </w:r>
    </w:p>
    <w:p>
      <w:pPr>
        <w:pStyle w:val="14"/>
        <w:spacing w:line="278" w:lineRule="exact"/>
        <w:ind w:firstLine="420"/>
        <w:jc w:val="both"/>
        <w:rPr>
          <w:color w:val="auto"/>
        </w:rPr>
      </w:pPr>
      <w:r>
        <w:rPr>
          <w:b/>
          <w:bCs/>
          <w:color w:val="auto"/>
        </w:rPr>
        <w:t>第二条</w:t>
      </w:r>
      <w:r>
        <w:rPr>
          <w:color w:val="auto"/>
        </w:rPr>
        <w:t>本管理办法所指境外高校交流学生，主要是指我校本科在籍学生经过选拔或推荐参加学校与境外高校达成合作协议的项</w:t>
      </w:r>
      <w:r>
        <w:rPr>
          <w:rFonts w:hint="eastAsia"/>
          <w:color w:val="auto"/>
        </w:rPr>
        <w:t>目</w:t>
      </w:r>
      <w:r>
        <w:rPr>
          <w:color w:val="auto"/>
        </w:rPr>
        <w:t>以及上级教育部门认定的境外交流项目。</w:t>
      </w:r>
    </w:p>
    <w:p>
      <w:pPr>
        <w:pStyle w:val="14"/>
        <w:spacing w:after="380" w:line="312" w:lineRule="exact"/>
        <w:ind w:firstLine="420"/>
        <w:jc w:val="both"/>
        <w:rPr>
          <w:color w:val="auto"/>
        </w:rPr>
      </w:pPr>
      <w:r>
        <w:rPr>
          <w:b/>
          <w:bCs/>
          <w:color w:val="auto"/>
        </w:rPr>
        <w:t>第三条</w:t>
      </w:r>
      <w:r>
        <w:rPr>
          <w:color w:val="auto"/>
        </w:rPr>
        <w:t>境外交流学生的管理应贯彻规范、专业和服务学生的原则。负责境外交流学生管理的相关职能部门应按照各自职责参与境外交流学生管理工作，分工明确，相互配合。</w:t>
      </w:r>
    </w:p>
    <w:p>
      <w:pPr>
        <w:pStyle w:val="18"/>
        <w:keepNext/>
        <w:keepLines/>
        <w:rPr>
          <w:color w:val="auto"/>
        </w:rPr>
      </w:pPr>
      <w:bookmarkStart w:id="219" w:name="bookmark304"/>
      <w:bookmarkStart w:id="220" w:name="bookmark303"/>
      <w:bookmarkStart w:id="221" w:name="bookmark305"/>
      <w:r>
        <w:rPr>
          <w:color w:val="auto"/>
        </w:rPr>
        <w:t>第二章境外交流学生管理相关部门</w:t>
      </w:r>
      <w:bookmarkEnd w:id="219"/>
      <w:bookmarkEnd w:id="220"/>
      <w:bookmarkEnd w:id="221"/>
    </w:p>
    <w:p>
      <w:pPr>
        <w:pStyle w:val="14"/>
        <w:spacing w:line="304" w:lineRule="exact"/>
        <w:ind w:firstLine="420"/>
        <w:jc w:val="both"/>
        <w:rPr>
          <w:color w:val="auto"/>
        </w:rPr>
      </w:pPr>
      <w:r>
        <w:rPr>
          <w:b/>
          <w:bCs/>
          <w:color w:val="auto"/>
        </w:rPr>
        <w:t>第四条</w:t>
      </w:r>
      <w:r>
        <w:rPr>
          <w:color w:val="auto"/>
        </w:rPr>
        <w:t>教学科研处、学生工作处、招生处、国际教育学院、</w:t>
      </w:r>
      <w:r>
        <w:rPr>
          <w:rFonts w:hint="eastAsia"/>
          <w:color w:val="auto"/>
          <w:lang w:eastAsia="zh-CN"/>
        </w:rPr>
        <w:t>后勤保卫处</w:t>
      </w:r>
      <w:r>
        <w:rPr>
          <w:color w:val="auto"/>
        </w:rPr>
        <w:t>为负责境外高校交流学生管理工作的相关部门。</w:t>
      </w:r>
    </w:p>
    <w:p>
      <w:pPr>
        <w:pStyle w:val="14"/>
        <w:spacing w:line="304" w:lineRule="exact"/>
        <w:ind w:firstLine="420"/>
        <w:jc w:val="both"/>
        <w:rPr>
          <w:color w:val="auto"/>
        </w:rPr>
      </w:pPr>
      <w:r>
        <w:rPr>
          <w:b/>
          <w:bCs/>
          <w:color w:val="auto"/>
        </w:rPr>
        <w:t>第五条</w:t>
      </w:r>
      <w:r>
        <w:rPr>
          <w:color w:val="auto"/>
        </w:rPr>
        <w:t>国际教育学院负责引进境外高校资源，全面负责</w:t>
      </w:r>
      <w:r>
        <w:rPr>
          <w:color w:val="auto"/>
          <w:lang w:val="zh-CN" w:eastAsia="zh-CN" w:bidi="zh-CN"/>
        </w:rPr>
        <w:t>“微</w:t>
      </w:r>
      <w:r>
        <w:rPr>
          <w:color w:val="auto"/>
        </w:rPr>
        <w:t>留学”等国际教育项目运营管理工作，做好项目的组织管理、协调保障、行前培训等工作，负责境外交流学生在境外期间的学生管理工作。教学科研处负责境外交流学生的学分认定、绩点提升、课程置换等相关工作。学生工作处负责境外交流学生在国内期间的思想政治教育与学生管理工作。招生处负责在招生过程中项目的深入宣传等工作。</w:t>
      </w:r>
      <w:r>
        <w:rPr>
          <w:rFonts w:hint="eastAsia"/>
          <w:color w:val="auto"/>
          <w:lang w:eastAsia="zh-CN"/>
        </w:rPr>
        <w:t>后勤保卫处</w:t>
      </w:r>
      <w:r>
        <w:rPr>
          <w:color w:val="auto"/>
        </w:rPr>
        <w:t>负责境外交流学生的行前安全教育工作。</w:t>
      </w:r>
    </w:p>
    <w:p>
      <w:pPr>
        <w:pStyle w:val="14"/>
        <w:spacing w:after="380" w:line="304" w:lineRule="exact"/>
        <w:ind w:firstLine="420"/>
        <w:jc w:val="both"/>
        <w:rPr>
          <w:color w:val="auto"/>
        </w:rPr>
      </w:pPr>
      <w:r>
        <w:rPr>
          <w:b/>
          <w:bCs/>
          <w:color w:val="auto"/>
        </w:rPr>
        <w:t>第六条</w:t>
      </w:r>
      <w:r>
        <w:rPr>
          <w:color w:val="auto"/>
        </w:rPr>
        <w:t>教学科研处、学生工作处、招生处、国际教育学院、</w:t>
      </w:r>
      <w:r>
        <w:rPr>
          <w:rFonts w:hint="eastAsia"/>
          <w:color w:val="auto"/>
          <w:lang w:eastAsia="zh-CN"/>
        </w:rPr>
        <w:t>后勤保卫处</w:t>
      </w:r>
      <w:r>
        <w:rPr>
          <w:color w:val="auto"/>
        </w:rPr>
        <w:t>对境外交流项目的信息和数据作定期的统计归档工作。</w:t>
      </w:r>
    </w:p>
    <w:p>
      <w:pPr>
        <w:pStyle w:val="18"/>
        <w:keepNext/>
        <w:keepLines/>
        <w:rPr>
          <w:color w:val="auto"/>
        </w:rPr>
      </w:pPr>
      <w:bookmarkStart w:id="222" w:name="bookmark306"/>
      <w:bookmarkStart w:id="223" w:name="bookmark308"/>
      <w:bookmarkStart w:id="224" w:name="bookmark307"/>
      <w:r>
        <w:rPr>
          <w:color w:val="auto"/>
        </w:rPr>
        <w:t>第三章境外交流项目信息发布、人员选拔和报送</w:t>
      </w:r>
      <w:bookmarkEnd w:id="222"/>
      <w:bookmarkEnd w:id="223"/>
      <w:bookmarkEnd w:id="224"/>
    </w:p>
    <w:p>
      <w:pPr>
        <w:pStyle w:val="14"/>
        <w:spacing w:line="310" w:lineRule="exact"/>
        <w:ind w:firstLine="420"/>
        <w:jc w:val="both"/>
        <w:rPr>
          <w:color w:val="auto"/>
        </w:rPr>
      </w:pPr>
      <w:r>
        <w:rPr>
          <w:b/>
          <w:bCs/>
          <w:color w:val="auto"/>
        </w:rPr>
        <w:t>第七条</w:t>
      </w:r>
      <w:r>
        <w:rPr>
          <w:color w:val="auto"/>
        </w:rPr>
        <w:t>境外交流学生在境外学习期间，根据学校文件规定保留其南京航空航天大学金城学院学籍。</w:t>
      </w:r>
    </w:p>
    <w:p>
      <w:pPr>
        <w:pStyle w:val="14"/>
        <w:spacing w:line="310" w:lineRule="exact"/>
        <w:ind w:firstLine="420"/>
        <w:jc w:val="both"/>
        <w:rPr>
          <w:color w:val="auto"/>
        </w:rPr>
      </w:pPr>
      <w:r>
        <w:rPr>
          <w:b/>
          <w:bCs/>
          <w:color w:val="auto"/>
        </w:rPr>
        <w:t>第八条</w:t>
      </w:r>
      <w:r>
        <w:rPr>
          <w:color w:val="auto"/>
        </w:rPr>
        <w:t>境外交流学生选拔条件</w:t>
      </w:r>
    </w:p>
    <w:p>
      <w:pPr>
        <w:pStyle w:val="14"/>
        <w:tabs>
          <w:tab w:val="left" w:pos="951"/>
        </w:tabs>
        <w:spacing w:line="310" w:lineRule="exact"/>
        <w:ind w:left="420" w:firstLine="0"/>
        <w:jc w:val="both"/>
        <w:rPr>
          <w:color w:val="auto"/>
        </w:rPr>
      </w:pPr>
      <w:bookmarkStart w:id="225" w:name="bookmark309"/>
      <w:bookmarkEnd w:id="225"/>
      <w:r>
        <w:rPr>
          <w:rFonts w:hint="eastAsia"/>
          <w:color w:val="auto"/>
        </w:rPr>
        <w:t>（</w:t>
      </w:r>
      <w:r>
        <w:rPr>
          <w:rFonts w:hint="eastAsia" w:ascii="Times New Roman" w:hAnsi="Times New Roman" w:eastAsia="Times New Roman" w:cs="Times New Roman"/>
          <w:color w:val="auto"/>
          <w:sz w:val="20"/>
          <w:szCs w:val="20"/>
        </w:rPr>
        <w:t>1</w:t>
      </w:r>
      <w:r>
        <w:rPr>
          <w:rFonts w:hint="eastAsia"/>
          <w:color w:val="auto"/>
        </w:rPr>
        <w:t>）</w:t>
      </w:r>
      <w:r>
        <w:rPr>
          <w:color w:val="auto"/>
        </w:rPr>
        <w:t>热爱祖国，品德优良，学习优秀，具有学成回国为祖国建设服务的事业心和责任感</w:t>
      </w:r>
      <w:r>
        <w:rPr>
          <w:rFonts w:hint="eastAsia"/>
          <w:color w:val="auto"/>
        </w:rPr>
        <w:t>；</w:t>
      </w:r>
    </w:p>
    <w:p>
      <w:pPr>
        <w:pStyle w:val="14"/>
        <w:tabs>
          <w:tab w:val="left" w:pos="944"/>
        </w:tabs>
        <w:spacing w:line="310" w:lineRule="exact"/>
        <w:ind w:left="420" w:firstLine="0"/>
        <w:jc w:val="both"/>
        <w:rPr>
          <w:color w:val="auto"/>
        </w:rPr>
      </w:pPr>
      <w:bookmarkStart w:id="226" w:name="bookmark310"/>
      <w:bookmarkEnd w:id="226"/>
      <w:r>
        <w:rPr>
          <w:rFonts w:hint="eastAsia"/>
          <w:color w:val="auto"/>
        </w:rPr>
        <w:t>（</w:t>
      </w:r>
      <w:r>
        <w:rPr>
          <w:rFonts w:hint="eastAsia" w:ascii="Times New Roman" w:hAnsi="Times New Roman" w:eastAsia="Times New Roman" w:cs="Times New Roman"/>
          <w:color w:val="auto"/>
          <w:sz w:val="20"/>
          <w:szCs w:val="20"/>
        </w:rPr>
        <w:t>2</w:t>
      </w:r>
      <w:r>
        <w:rPr>
          <w:rFonts w:hint="eastAsia"/>
          <w:color w:val="auto"/>
        </w:rPr>
        <w:t>）</w:t>
      </w:r>
      <w:r>
        <w:rPr>
          <w:color w:val="auto"/>
        </w:rPr>
        <w:t>身体健康，无重大疾病及心理疾病，有较强的生活适应能力和协调沟通能力，无不良生活习惯；</w:t>
      </w:r>
    </w:p>
    <w:p>
      <w:pPr>
        <w:pStyle w:val="14"/>
        <w:spacing w:line="310" w:lineRule="exact"/>
        <w:ind w:firstLine="420"/>
        <w:jc w:val="both"/>
        <w:rPr>
          <w:color w:val="auto"/>
        </w:rPr>
      </w:pPr>
      <w:r>
        <w:rPr>
          <w:rFonts w:hint="eastAsia"/>
          <w:color w:val="auto"/>
        </w:rPr>
        <w:t>（</w:t>
      </w:r>
      <w:r>
        <w:rPr>
          <w:rFonts w:hint="eastAsia" w:ascii="Times New Roman" w:hAnsi="Times New Roman" w:eastAsia="Times New Roman" w:cs="Times New Roman"/>
          <w:color w:val="auto"/>
          <w:sz w:val="20"/>
          <w:szCs w:val="20"/>
        </w:rPr>
        <w:t>3</w:t>
      </w:r>
      <w:r>
        <w:rPr>
          <w:rFonts w:hint="eastAsia"/>
          <w:color w:val="auto"/>
        </w:rPr>
        <w:t>）</w:t>
      </w:r>
      <w:r>
        <w:rPr>
          <w:color w:val="auto"/>
        </w:rPr>
        <w:t>学生有出国学习意愿，有较强的外语水平和应用能力；</w:t>
      </w:r>
    </w:p>
    <w:p>
      <w:pPr>
        <w:pStyle w:val="14"/>
        <w:spacing w:line="304" w:lineRule="exact"/>
        <w:ind w:firstLine="420"/>
        <w:jc w:val="both"/>
        <w:rPr>
          <w:color w:val="auto"/>
        </w:rPr>
      </w:pPr>
      <w:r>
        <w:rPr>
          <w:rFonts w:hint="eastAsia"/>
          <w:color w:val="auto"/>
        </w:rPr>
        <w:t>（</w:t>
      </w:r>
      <w:r>
        <w:rPr>
          <w:rFonts w:hint="eastAsia" w:ascii="Times New Roman" w:hAnsi="Times New Roman" w:eastAsia="Times New Roman" w:cs="Times New Roman"/>
          <w:color w:val="auto"/>
          <w:sz w:val="20"/>
          <w:szCs w:val="20"/>
        </w:rPr>
        <w:t>4</w:t>
      </w:r>
      <w:r>
        <w:rPr>
          <w:rFonts w:hint="eastAsia"/>
          <w:color w:val="auto"/>
        </w:rPr>
        <w:t>）</w:t>
      </w:r>
      <w:r>
        <w:rPr>
          <w:color w:val="auto"/>
        </w:rPr>
        <w:t>符合具体项目的具体要求，承诺履行与项目有关的义务和责任。</w:t>
      </w:r>
    </w:p>
    <w:p>
      <w:pPr>
        <w:pStyle w:val="14"/>
        <w:spacing w:line="302" w:lineRule="exact"/>
        <w:ind w:firstLine="420"/>
        <w:jc w:val="both"/>
        <w:rPr>
          <w:color w:val="auto"/>
        </w:rPr>
      </w:pPr>
      <w:r>
        <w:rPr>
          <w:b/>
          <w:bCs/>
          <w:color w:val="auto"/>
        </w:rPr>
        <w:t>第九条</w:t>
      </w:r>
      <w:r>
        <w:rPr>
          <w:color w:val="auto"/>
        </w:rPr>
        <w:t>境外交流学生选拔程序</w:t>
      </w:r>
    </w:p>
    <w:p>
      <w:pPr>
        <w:pStyle w:val="14"/>
        <w:tabs>
          <w:tab w:val="left" w:pos="900"/>
        </w:tabs>
        <w:spacing w:line="302" w:lineRule="exact"/>
        <w:ind w:firstLine="420"/>
        <w:jc w:val="both"/>
        <w:rPr>
          <w:color w:val="auto"/>
        </w:rPr>
      </w:pPr>
      <w:r>
        <w:rPr>
          <w:rFonts w:hint="eastAsia"/>
          <w:color w:val="auto"/>
          <w:szCs w:val="20"/>
        </w:rPr>
        <w:t>（</w:t>
      </w:r>
      <w:r>
        <w:rPr>
          <w:rFonts w:ascii="Times New Roman" w:hAnsi="Times New Roman" w:eastAsia="Times New Roman" w:cs="Times New Roman"/>
          <w:color w:val="auto"/>
          <w:sz w:val="20"/>
          <w:szCs w:val="20"/>
        </w:rPr>
        <w:t>1</w:t>
      </w:r>
      <w:r>
        <w:rPr>
          <w:rFonts w:hint="eastAsia"/>
          <w:color w:val="auto"/>
          <w:szCs w:val="20"/>
        </w:rPr>
        <w:t>）</w:t>
      </w:r>
      <w:r>
        <w:rPr>
          <w:color w:val="auto"/>
        </w:rPr>
        <w:t>由国际教育学院根据项目协议内容下达项目实施通知，坚持信息公开、机会均等、自愿报名、择优录取的原则。</w:t>
      </w:r>
    </w:p>
    <w:p>
      <w:pPr>
        <w:pStyle w:val="14"/>
        <w:tabs>
          <w:tab w:val="left" w:pos="929"/>
        </w:tabs>
        <w:spacing w:line="310"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2</w:t>
      </w:r>
      <w:r>
        <w:rPr>
          <w:color w:val="auto"/>
          <w:szCs w:val="20"/>
        </w:rPr>
        <w:t>）</w:t>
      </w:r>
      <w:r>
        <w:rPr>
          <w:color w:val="auto"/>
        </w:rPr>
        <w:t>各学院应向全院学生公布项目实施办法、协议内容及选拔通知等重要信息。各学院成立国际教育工作组根据报名学生的学习成绩及综合表现进行推荐后，确定初选名单报国际教育学院审核。</w:t>
      </w:r>
    </w:p>
    <w:p>
      <w:pPr>
        <w:pStyle w:val="14"/>
        <w:spacing w:line="302" w:lineRule="exact"/>
        <w:ind w:firstLine="420"/>
        <w:jc w:val="both"/>
        <w:rPr>
          <w:color w:val="auto"/>
        </w:rPr>
      </w:pPr>
      <w:r>
        <w:rPr>
          <w:color w:val="auto"/>
        </w:rPr>
        <w:t>（</w:t>
      </w:r>
      <w:r>
        <w:rPr>
          <w:rFonts w:ascii="Times New Roman" w:hAnsi="Times New Roman" w:eastAsia="Times New Roman" w:cs="Times New Roman"/>
          <w:color w:val="auto"/>
          <w:sz w:val="20"/>
          <w:szCs w:val="20"/>
        </w:rPr>
        <w:t>3</w:t>
      </w:r>
      <w:r>
        <w:rPr>
          <w:color w:val="auto"/>
          <w:szCs w:val="20"/>
        </w:rPr>
        <w:t>）</w:t>
      </w:r>
      <w:r>
        <w:rPr>
          <w:color w:val="auto"/>
        </w:rPr>
        <w:t>国际教育学院根据项目要求审核后，确定选派学生名单，送教学科研处、学生工作处、</w:t>
      </w:r>
      <w:r>
        <w:rPr>
          <w:rFonts w:hint="eastAsia"/>
          <w:color w:val="auto"/>
          <w:lang w:eastAsia="zh-CN"/>
        </w:rPr>
        <w:t>后勤保卫处</w:t>
      </w:r>
      <w:r>
        <w:rPr>
          <w:color w:val="auto"/>
        </w:rPr>
        <w:t>备案，通知学生办理出国签证及离校手续。</w:t>
      </w:r>
    </w:p>
    <w:p>
      <w:pPr>
        <w:pStyle w:val="14"/>
        <w:spacing w:after="380" w:line="302" w:lineRule="exact"/>
        <w:ind w:firstLine="420"/>
        <w:jc w:val="both"/>
        <w:rPr>
          <w:color w:val="auto"/>
        </w:rPr>
      </w:pPr>
      <w:r>
        <w:rPr>
          <w:b/>
          <w:bCs/>
          <w:color w:val="auto"/>
        </w:rPr>
        <w:t>第十条</w:t>
      </w:r>
      <w:r>
        <w:rPr>
          <w:color w:val="auto"/>
        </w:rPr>
        <w:t>除特殊情况，境外交流项目的对外材料报送和录取均由国际教育学院负责，将录取通知书及签证相关材料发给学生，并协助提供合作院校录取人员名单给学生工作处存档备案。</w:t>
      </w:r>
    </w:p>
    <w:p>
      <w:pPr>
        <w:pStyle w:val="18"/>
        <w:keepNext/>
        <w:keepLines/>
        <w:spacing w:after="320"/>
        <w:rPr>
          <w:color w:val="auto"/>
        </w:rPr>
      </w:pPr>
      <w:bookmarkStart w:id="227" w:name="bookmark315"/>
      <w:bookmarkStart w:id="228" w:name="bookmark316"/>
      <w:bookmarkStart w:id="229" w:name="bookmark314"/>
      <w:r>
        <w:rPr>
          <w:color w:val="auto"/>
        </w:rPr>
        <w:t>第四章境外交流学生的权利和义务</w:t>
      </w:r>
      <w:bookmarkEnd w:id="227"/>
      <w:bookmarkEnd w:id="228"/>
      <w:bookmarkEnd w:id="229"/>
    </w:p>
    <w:p>
      <w:pPr>
        <w:pStyle w:val="14"/>
        <w:spacing w:line="304" w:lineRule="exact"/>
        <w:ind w:firstLine="420"/>
        <w:jc w:val="both"/>
        <w:rPr>
          <w:color w:val="auto"/>
        </w:rPr>
      </w:pPr>
      <w:r>
        <w:rPr>
          <w:b/>
          <w:bCs/>
          <w:color w:val="auto"/>
        </w:rPr>
        <w:t>第十一条</w:t>
      </w:r>
      <w:r>
        <w:rPr>
          <w:color w:val="auto"/>
        </w:rPr>
        <w:t>符合选拔条件的在籍学生允许参加</w:t>
      </w:r>
      <w:r>
        <w:rPr>
          <w:color w:val="auto"/>
          <w:lang w:val="zh-CN" w:eastAsia="zh-CN" w:bidi="zh-CN"/>
        </w:rPr>
        <w:t>“微</w:t>
      </w:r>
      <w:r>
        <w:rPr>
          <w:color w:val="auto"/>
        </w:rPr>
        <w:t>留学”等国际交流项目申报并承担相应的权利和义务。在获得学校推荐、公示或境外高校录取资格后，未经国际教育学院许可，学生不得擅自退出境外交流项目，否则学校将取消其在校期间继续参加其他境外交流项目的资格。</w:t>
      </w:r>
    </w:p>
    <w:p>
      <w:pPr>
        <w:pStyle w:val="14"/>
        <w:spacing w:line="304" w:lineRule="exact"/>
        <w:ind w:firstLine="420"/>
        <w:jc w:val="both"/>
        <w:rPr>
          <w:color w:val="auto"/>
        </w:rPr>
      </w:pPr>
      <w:r>
        <w:rPr>
          <w:b/>
          <w:bCs/>
          <w:color w:val="auto"/>
        </w:rPr>
        <w:t>第十二条</w:t>
      </w:r>
      <w:r>
        <w:rPr>
          <w:color w:val="auto"/>
        </w:rPr>
        <w:t>选定的境外交流学生须到国际教育学院办理《南京航空航天大学金城学院境外交流学生离校手续单》。交流期间应当办理保留宿舍，返校后继续安排原宿舍住宿。</w:t>
      </w:r>
    </w:p>
    <w:p>
      <w:pPr>
        <w:pStyle w:val="14"/>
        <w:spacing w:line="304" w:lineRule="exact"/>
        <w:ind w:firstLine="420"/>
        <w:jc w:val="both"/>
        <w:rPr>
          <w:color w:val="auto"/>
        </w:rPr>
      </w:pPr>
      <w:r>
        <w:rPr>
          <w:b/>
          <w:bCs/>
          <w:color w:val="auto"/>
        </w:rPr>
        <w:t>第十三条</w:t>
      </w:r>
      <w:r>
        <w:rPr>
          <w:color w:val="auto"/>
        </w:rPr>
        <w:t>赴国（境）外大学留学学生的责任</w:t>
      </w:r>
    </w:p>
    <w:p>
      <w:pPr>
        <w:pStyle w:val="14"/>
        <w:spacing w:line="304" w:lineRule="exact"/>
        <w:ind w:firstLine="420"/>
        <w:jc w:val="both"/>
        <w:rPr>
          <w:color w:val="auto"/>
        </w:rPr>
      </w:pPr>
      <w:r>
        <w:rPr>
          <w:color w:val="auto"/>
        </w:rPr>
        <w:t>（</w:t>
      </w:r>
      <w:r>
        <w:rPr>
          <w:rFonts w:ascii="Times New Roman" w:hAnsi="Times New Roman" w:eastAsia="Times New Roman" w:cs="Times New Roman"/>
          <w:color w:val="auto"/>
          <w:sz w:val="20"/>
          <w:szCs w:val="20"/>
        </w:rPr>
        <w:t>1</w:t>
      </w:r>
      <w:r>
        <w:rPr>
          <w:color w:val="auto"/>
        </w:rPr>
        <w:t>）必须遵守国（境）外留学大学的校纪校规和其所在国家或地区的法律法规；</w:t>
      </w:r>
    </w:p>
    <w:p>
      <w:pPr>
        <w:pStyle w:val="14"/>
        <w:spacing w:line="304"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2</w:t>
      </w:r>
      <w:r>
        <w:rPr>
          <w:color w:val="auto"/>
          <w:szCs w:val="20"/>
        </w:rPr>
        <w:t>）</w:t>
      </w:r>
      <w:r>
        <w:rPr>
          <w:color w:val="auto"/>
        </w:rPr>
        <w:t>境外交流学生需严格遵守学校的规定，努力学习，并按期回国继续学习。如有任何违背学校规定的行为，造成的后果由个人承担；</w:t>
      </w:r>
    </w:p>
    <w:p>
      <w:pPr>
        <w:pStyle w:val="14"/>
        <w:spacing w:line="304" w:lineRule="exact"/>
        <w:ind w:firstLine="420"/>
        <w:jc w:val="both"/>
        <w:rPr>
          <w:color w:val="auto"/>
        </w:rPr>
      </w:pPr>
      <w:r>
        <w:rPr>
          <w:rFonts w:hint="eastAsia"/>
          <w:color w:val="auto"/>
          <w:szCs w:val="20"/>
        </w:rPr>
        <w:t>（</w:t>
      </w:r>
      <w:r>
        <w:rPr>
          <w:rFonts w:ascii="Times New Roman" w:hAnsi="Times New Roman" w:eastAsia="Times New Roman" w:cs="Times New Roman"/>
          <w:color w:val="auto"/>
          <w:sz w:val="20"/>
          <w:szCs w:val="20"/>
        </w:rPr>
        <w:t>3</w:t>
      </w:r>
      <w:r>
        <w:rPr>
          <w:color w:val="auto"/>
          <w:szCs w:val="20"/>
        </w:rPr>
        <w:t>）</w:t>
      </w:r>
      <w:r>
        <w:rPr>
          <w:color w:val="auto"/>
        </w:rPr>
        <w:t>境外交流学生必须按就读大学的要求购买相关国（境）外医疗保险和人生意外保险。如不购买相关保险，一旦在国（境）外境外交流期间遇疾病或意外伤害等紧急情况，境外交流学生自行承担所有责任和相关费用。</w:t>
      </w:r>
    </w:p>
    <w:p>
      <w:pPr>
        <w:pStyle w:val="14"/>
        <w:spacing w:line="300" w:lineRule="exact"/>
        <w:ind w:firstLine="420"/>
        <w:jc w:val="both"/>
        <w:rPr>
          <w:color w:val="auto"/>
        </w:rPr>
      </w:pPr>
      <w:r>
        <w:rPr>
          <w:b/>
          <w:bCs/>
          <w:color w:val="auto"/>
        </w:rPr>
        <w:t>第十四条</w:t>
      </w:r>
      <w:r>
        <w:rPr>
          <w:color w:val="auto"/>
        </w:rPr>
        <w:t>学生因故提前终止学习，必须向双方学校提出申请，经批准后方可提前返校。</w:t>
      </w:r>
    </w:p>
    <w:p>
      <w:pPr>
        <w:pStyle w:val="14"/>
        <w:spacing w:after="380" w:line="300" w:lineRule="exact"/>
        <w:ind w:firstLine="420"/>
        <w:jc w:val="both"/>
        <w:rPr>
          <w:color w:val="auto"/>
        </w:rPr>
      </w:pPr>
      <w:r>
        <w:rPr>
          <w:b/>
          <w:bCs/>
          <w:color w:val="auto"/>
        </w:rPr>
        <w:t>第十五条</w:t>
      </w:r>
      <w:r>
        <w:rPr>
          <w:color w:val="auto"/>
        </w:rPr>
        <w:t>境外交流学习期满后，学生必须按时返校，及时到所属学院办理返校注册手续</w:t>
      </w:r>
      <w:r>
        <w:rPr>
          <w:rFonts w:hint="eastAsia"/>
          <w:color w:val="auto"/>
        </w:rPr>
        <w:t>，</w:t>
      </w:r>
      <w:r>
        <w:rPr>
          <w:color w:val="auto"/>
        </w:rPr>
        <w:t>不得擅自延长交流期限或转往其他国家和地区留学。逾期</w:t>
      </w:r>
      <w:r>
        <w:rPr>
          <w:rFonts w:ascii="Times New Roman" w:hAnsi="Times New Roman" w:eastAsia="Times New Roman" w:cs="Times New Roman"/>
          <w:color w:val="auto"/>
          <w:sz w:val="20"/>
          <w:szCs w:val="20"/>
        </w:rPr>
        <w:t>10</w:t>
      </w:r>
      <w:r>
        <w:rPr>
          <w:color w:val="auto"/>
        </w:rPr>
        <w:t>天给予警告处分，</w:t>
      </w:r>
      <w:r>
        <w:rPr>
          <w:rFonts w:ascii="Times New Roman" w:hAnsi="Times New Roman" w:eastAsia="Times New Roman" w:cs="Times New Roman"/>
          <w:color w:val="auto"/>
          <w:sz w:val="20"/>
          <w:szCs w:val="20"/>
        </w:rPr>
        <w:t>15</w:t>
      </w:r>
      <w:r>
        <w:rPr>
          <w:color w:val="auto"/>
        </w:rPr>
        <w:t>天给予留校察看处分，超过</w:t>
      </w:r>
      <w:r>
        <w:rPr>
          <w:rFonts w:ascii="Times New Roman" w:hAnsi="Times New Roman" w:eastAsia="Times New Roman" w:cs="Times New Roman"/>
          <w:color w:val="auto"/>
          <w:sz w:val="20"/>
          <w:szCs w:val="20"/>
        </w:rPr>
        <w:t>30</w:t>
      </w:r>
      <w:r>
        <w:rPr>
          <w:color w:val="auto"/>
        </w:rPr>
        <w:t>天作自动退学处理。</w:t>
      </w:r>
    </w:p>
    <w:p>
      <w:pPr>
        <w:pStyle w:val="18"/>
        <w:keepNext/>
        <w:keepLines/>
        <w:spacing w:after="320"/>
        <w:rPr>
          <w:color w:val="auto"/>
        </w:rPr>
      </w:pPr>
      <w:bookmarkStart w:id="230" w:name="bookmark320"/>
      <w:bookmarkStart w:id="231" w:name="bookmark319"/>
      <w:bookmarkStart w:id="232" w:name="bookmark321"/>
      <w:r>
        <w:rPr>
          <w:color w:val="auto"/>
        </w:rPr>
        <w:t>第五章行前培训和国（境）外管理</w:t>
      </w:r>
      <w:bookmarkEnd w:id="230"/>
      <w:bookmarkEnd w:id="231"/>
      <w:bookmarkEnd w:id="232"/>
    </w:p>
    <w:p>
      <w:pPr>
        <w:pStyle w:val="14"/>
        <w:spacing w:line="299" w:lineRule="exact"/>
        <w:ind w:firstLine="420"/>
        <w:jc w:val="both"/>
        <w:rPr>
          <w:color w:val="auto"/>
        </w:rPr>
      </w:pPr>
      <w:r>
        <w:rPr>
          <w:b/>
          <w:bCs/>
          <w:color w:val="auto"/>
        </w:rPr>
        <w:t>第十六条</w:t>
      </w:r>
      <w:r>
        <w:rPr>
          <w:color w:val="auto"/>
        </w:rPr>
        <w:t>境外交流学生出国签证或出境证件办妥后，必须依照项目要求参加相关部门主办的行前培训。</w:t>
      </w:r>
    </w:p>
    <w:p>
      <w:pPr>
        <w:pStyle w:val="14"/>
        <w:spacing w:line="299" w:lineRule="exact"/>
        <w:ind w:firstLine="420"/>
        <w:jc w:val="both"/>
        <w:rPr>
          <w:color w:val="auto"/>
        </w:rPr>
      </w:pPr>
      <w:r>
        <w:rPr>
          <w:b/>
          <w:bCs/>
          <w:color w:val="auto"/>
        </w:rPr>
        <w:t>第十七条</w:t>
      </w:r>
      <w:r>
        <w:rPr>
          <w:color w:val="auto"/>
        </w:rPr>
        <w:t>境外交流学生到达对方学校后，应于两周内将国外或境外住址、联系方式及所选课程及时反馈给相关职能部门和所属学院，并保持通畅的联系，按照要求定期向所在学院汇报学习情况。</w:t>
      </w:r>
    </w:p>
    <w:p>
      <w:pPr>
        <w:pStyle w:val="14"/>
        <w:spacing w:after="380" w:line="299" w:lineRule="exact"/>
        <w:ind w:firstLine="420"/>
        <w:jc w:val="both"/>
        <w:rPr>
          <w:rFonts w:eastAsia="PMingLiU"/>
          <w:color w:val="auto"/>
        </w:rPr>
      </w:pPr>
      <w:r>
        <w:rPr>
          <w:b/>
          <w:bCs/>
          <w:color w:val="auto"/>
        </w:rPr>
        <w:t>第十八条</w:t>
      </w:r>
      <w:r>
        <w:rPr>
          <w:color w:val="auto"/>
        </w:rPr>
        <w:t>境外交流学生在国（境）外发生意外事件，或遇特殊自然灾害或社会动乱，应及时与家人、所属学院和相关职能部门联系，以便相关事宜的协调和处理。</w:t>
      </w:r>
      <w:bookmarkStart w:id="233" w:name="bookmark322"/>
      <w:bookmarkStart w:id="234" w:name="bookmark324"/>
      <w:bookmarkStart w:id="235" w:name="bookmark323"/>
    </w:p>
    <w:p>
      <w:pPr>
        <w:pStyle w:val="18"/>
        <w:keepNext/>
        <w:keepLines/>
        <w:spacing w:after="320"/>
        <w:rPr>
          <w:color w:val="auto"/>
        </w:rPr>
      </w:pPr>
      <w:r>
        <w:rPr>
          <w:color w:val="auto"/>
        </w:rPr>
        <w:t>第六章境外交流项目信息反馈</w:t>
      </w:r>
      <w:bookmarkEnd w:id="233"/>
      <w:bookmarkEnd w:id="234"/>
      <w:bookmarkEnd w:id="235"/>
    </w:p>
    <w:p>
      <w:pPr>
        <w:pStyle w:val="14"/>
        <w:spacing w:line="302" w:lineRule="exact"/>
        <w:ind w:firstLine="440"/>
        <w:jc w:val="both"/>
        <w:rPr>
          <w:color w:val="auto"/>
        </w:rPr>
      </w:pPr>
      <w:r>
        <w:rPr>
          <w:b/>
          <w:bCs/>
          <w:color w:val="auto"/>
        </w:rPr>
        <w:t>第十九条</w:t>
      </w:r>
      <w:r>
        <w:rPr>
          <w:color w:val="auto"/>
        </w:rPr>
        <w:t>相关职能部门在境外交流学生返校后，依据项目情况不定期组织项目汇报会，听取境外交流学生在境外学校的情况和对境外交流项目的改进意见。</w:t>
      </w:r>
    </w:p>
    <w:p>
      <w:pPr>
        <w:pStyle w:val="14"/>
        <w:spacing w:after="400" w:line="302" w:lineRule="exact"/>
        <w:ind w:firstLine="440"/>
        <w:rPr>
          <w:color w:val="auto"/>
        </w:rPr>
      </w:pPr>
      <w:r>
        <w:rPr>
          <w:b/>
          <w:bCs/>
          <w:color w:val="auto"/>
        </w:rPr>
        <w:t>第二十条</w:t>
      </w:r>
      <w:r>
        <w:rPr>
          <w:color w:val="auto"/>
        </w:rPr>
        <w:t>相关职能部门依据具体的项目实施情况与境外高校进行沟通和协调。</w:t>
      </w:r>
    </w:p>
    <w:p>
      <w:pPr>
        <w:pStyle w:val="18"/>
        <w:keepNext/>
        <w:keepLines/>
        <w:rPr>
          <w:color w:val="auto"/>
        </w:rPr>
      </w:pPr>
      <w:bookmarkStart w:id="236" w:name="bookmark327"/>
      <w:bookmarkStart w:id="237" w:name="bookmark325"/>
      <w:bookmarkStart w:id="238" w:name="bookmark326"/>
      <w:r>
        <w:rPr>
          <w:color w:val="auto"/>
        </w:rPr>
        <w:t>第七章其他</w:t>
      </w:r>
      <w:bookmarkEnd w:id="236"/>
      <w:bookmarkEnd w:id="237"/>
      <w:bookmarkEnd w:id="238"/>
    </w:p>
    <w:p>
      <w:pPr>
        <w:pStyle w:val="14"/>
        <w:spacing w:line="307" w:lineRule="exact"/>
        <w:ind w:firstLine="440"/>
        <w:jc w:val="both"/>
        <w:rPr>
          <w:color w:val="auto"/>
        </w:rPr>
      </w:pPr>
      <w:r>
        <w:rPr>
          <w:b/>
          <w:bCs/>
          <w:color w:val="auto"/>
        </w:rPr>
        <w:t>第二十一条</w:t>
      </w:r>
      <w:r>
        <w:rPr>
          <w:color w:val="auto"/>
        </w:rPr>
        <w:t>本办法由教学科研处、学生工作处、招生处、国际教育学院、</w:t>
      </w:r>
      <w:r>
        <w:rPr>
          <w:rFonts w:hint="eastAsia"/>
          <w:color w:val="auto"/>
          <w:lang w:eastAsia="zh-CN"/>
        </w:rPr>
        <w:t>后勤保卫处</w:t>
      </w:r>
      <w:r>
        <w:rPr>
          <w:color w:val="auto"/>
        </w:rPr>
        <w:t>共同负责解释。</w:t>
      </w:r>
    </w:p>
    <w:p>
      <w:pPr>
        <w:pStyle w:val="14"/>
        <w:spacing w:after="360" w:line="317" w:lineRule="exact"/>
        <w:ind w:firstLine="440"/>
        <w:jc w:val="both"/>
        <w:rPr>
          <w:color w:val="auto"/>
        </w:rPr>
      </w:pPr>
      <w:r>
        <w:rPr>
          <w:b/>
          <w:bCs/>
          <w:color w:val="auto"/>
        </w:rPr>
        <w:t>第二十二条</w:t>
      </w:r>
      <w:r>
        <w:rPr>
          <w:color w:val="auto"/>
        </w:rPr>
        <w:t>本办法自公布之日起实行，此前发布的有关规定，凡与本规定相冲突的，以本规定为准。</w:t>
      </w:r>
      <w:r>
        <w:rPr>
          <w:color w:val="auto"/>
        </w:rPr>
        <w:br w:type="page"/>
      </w:r>
    </w:p>
    <w:p>
      <w:pPr>
        <w:pStyle w:val="12"/>
        <w:keepNext/>
        <w:keepLines/>
        <w:spacing w:before="0" w:after="80" w:line="595" w:lineRule="exact"/>
        <w:rPr>
          <w:rFonts w:hint="eastAsia" w:eastAsia="宋体"/>
          <w:color w:val="auto"/>
          <w:lang w:eastAsia="zh-CN"/>
        </w:rPr>
      </w:pPr>
      <w:bookmarkStart w:id="239" w:name="bookmark328"/>
      <w:bookmarkStart w:id="240" w:name="bookmark329"/>
      <w:bookmarkStart w:id="241" w:name="bookmark330"/>
      <w:r>
        <w:rPr>
          <w:color w:val="auto"/>
        </w:rPr>
        <w:t>南京航空航天大学金城学院</w:t>
      </w:r>
    </w:p>
    <w:p>
      <w:pPr>
        <w:pStyle w:val="12"/>
        <w:keepNext/>
        <w:keepLines/>
        <w:spacing w:before="0" w:after="80" w:line="595" w:lineRule="exact"/>
        <w:rPr>
          <w:color w:val="auto"/>
        </w:rPr>
      </w:pPr>
      <w:r>
        <w:rPr>
          <w:color w:val="auto"/>
        </w:rPr>
        <w:t>学生考试管</w:t>
      </w:r>
      <w:r>
        <w:rPr>
          <w:rFonts w:hint="eastAsia"/>
          <w:color w:val="auto"/>
        </w:rPr>
        <w:t>理规</w:t>
      </w:r>
      <w:r>
        <w:rPr>
          <w:color w:val="auto"/>
        </w:rPr>
        <w:t>定</w:t>
      </w:r>
      <w:bookmarkEnd w:id="239"/>
      <w:bookmarkEnd w:id="240"/>
      <w:bookmarkEnd w:id="241"/>
    </w:p>
    <w:p>
      <w:pPr>
        <w:pStyle w:val="14"/>
        <w:spacing w:line="299" w:lineRule="exact"/>
        <w:ind w:firstLine="420"/>
        <w:jc w:val="both"/>
        <w:rPr>
          <w:color w:val="auto"/>
        </w:rPr>
      </w:pPr>
      <w:r>
        <w:rPr>
          <w:color w:val="auto"/>
        </w:rPr>
        <w:t>为维护学校课程考核（考试和考查统称为</w:t>
      </w:r>
      <w:r>
        <w:rPr>
          <w:rFonts w:hint="eastAsia"/>
          <w:color w:val="auto"/>
          <w:lang w:val="en-US" w:eastAsia="zh-CN"/>
        </w:rPr>
        <w:t>考核</w:t>
      </w:r>
      <w:r>
        <w:rPr>
          <w:color w:val="auto"/>
        </w:rPr>
        <w:t>）的正常秩序，加强考风建设，营造公平、公正、诚信的考试氛围，保障学生的合法权益，根据教育部令</w:t>
      </w:r>
      <w:r>
        <w:rPr>
          <w:rFonts w:ascii="Times New Roman" w:hAnsi="Times New Roman" w:eastAsia="Times New Roman" w:cs="Times New Roman"/>
          <w:color w:val="auto"/>
          <w:sz w:val="20"/>
          <w:szCs w:val="20"/>
        </w:rPr>
        <w:t>33</w:t>
      </w:r>
      <w:r>
        <w:rPr>
          <w:color w:val="auto"/>
        </w:rPr>
        <w:t>号《国家教育考试违规处理办法》和《南京航空航天大学金城学院本科生学籍管理办法》等有关文件精神和要求，特制定本规定。</w:t>
      </w:r>
    </w:p>
    <w:p>
      <w:pPr>
        <w:pStyle w:val="14"/>
        <w:spacing w:line="299" w:lineRule="exact"/>
        <w:ind w:firstLine="420"/>
        <w:jc w:val="both"/>
        <w:rPr>
          <w:color w:val="auto"/>
        </w:rPr>
      </w:pPr>
      <w:r>
        <w:rPr>
          <w:b/>
          <w:bCs/>
          <w:color w:val="auto"/>
          <w:lang w:val="zh-CN" w:eastAsia="zh-CN" w:bidi="zh-CN"/>
        </w:rPr>
        <w:t>第一条</w:t>
      </w:r>
      <w:r>
        <w:rPr>
          <w:color w:val="auto"/>
        </w:rPr>
        <w:t>考试要求</w:t>
      </w:r>
    </w:p>
    <w:p>
      <w:pPr>
        <w:pStyle w:val="14"/>
        <w:spacing w:line="299" w:lineRule="exact"/>
        <w:ind w:firstLine="420"/>
        <w:jc w:val="both"/>
        <w:rPr>
          <w:color w:val="auto"/>
        </w:rPr>
      </w:pPr>
      <w:r>
        <w:rPr>
          <w:color w:val="auto"/>
        </w:rPr>
        <w:t>（一）考生应携带有效证件（学生证、身份证）进入考场，按规定座位和要求入座，服从监考人员指挥，并将证件放在考试座位的左（右）上角，待监考人员检查。</w:t>
      </w:r>
    </w:p>
    <w:p>
      <w:pPr>
        <w:pStyle w:val="14"/>
        <w:spacing w:line="299" w:lineRule="exact"/>
        <w:ind w:firstLine="420"/>
        <w:jc w:val="both"/>
        <w:rPr>
          <w:color w:val="auto"/>
        </w:rPr>
      </w:pPr>
      <w:r>
        <w:rPr>
          <w:color w:val="auto"/>
        </w:rPr>
        <w:t>（二</w:t>
      </w:r>
      <w:r>
        <w:rPr>
          <w:rFonts w:hint="eastAsia"/>
          <w:color w:val="auto"/>
        </w:rPr>
        <w:t>）考</w:t>
      </w:r>
      <w:r>
        <w:rPr>
          <w:color w:val="auto"/>
        </w:rPr>
        <w:t>生应在开考前</w:t>
      </w:r>
      <w:r>
        <w:rPr>
          <w:rFonts w:ascii="Times New Roman" w:hAnsi="Times New Roman" w:eastAsia="Times New Roman" w:cs="Times New Roman"/>
          <w:color w:val="auto"/>
          <w:sz w:val="20"/>
          <w:szCs w:val="20"/>
        </w:rPr>
        <w:t>10</w:t>
      </w:r>
      <w:r>
        <w:rPr>
          <w:color w:val="auto"/>
        </w:rPr>
        <w:t>分钟进入考场。无特殊原因迟到</w:t>
      </w:r>
      <w:r>
        <w:rPr>
          <w:rFonts w:ascii="Times New Roman" w:hAnsi="Times New Roman" w:eastAsia="Times New Roman" w:cs="Times New Roman"/>
          <w:color w:val="auto"/>
          <w:sz w:val="20"/>
          <w:szCs w:val="20"/>
        </w:rPr>
        <w:t>15</w:t>
      </w:r>
      <w:r>
        <w:rPr>
          <w:color w:val="auto"/>
        </w:rPr>
        <w:t>分钟以上者，不准进入考场，按</w:t>
      </w:r>
      <w:r>
        <w:rPr>
          <w:rFonts w:hint="eastAsia"/>
          <w:color w:val="auto"/>
          <w:lang w:val="en-US" w:eastAsia="zh-CN"/>
        </w:rPr>
        <w:t>缺</w:t>
      </w:r>
      <w:r>
        <w:rPr>
          <w:color w:val="auto"/>
        </w:rPr>
        <w:t>考论处</w:t>
      </w:r>
      <w:r>
        <w:rPr>
          <w:rFonts w:hint="eastAsia"/>
          <w:color w:val="auto"/>
        </w:rPr>
        <w:t>；</w:t>
      </w:r>
      <w:r>
        <w:rPr>
          <w:color w:val="auto"/>
        </w:rPr>
        <w:t>含有外语听力课程考试迟到者，不准进入考场，按</w:t>
      </w:r>
      <w:r>
        <w:rPr>
          <w:rFonts w:hint="eastAsia"/>
          <w:color w:val="auto"/>
          <w:lang w:val="en-US" w:eastAsia="zh-CN"/>
        </w:rPr>
        <w:t>缺</w:t>
      </w:r>
      <w:r>
        <w:rPr>
          <w:color w:val="auto"/>
        </w:rPr>
        <w:t>考论处。</w:t>
      </w:r>
    </w:p>
    <w:p>
      <w:pPr>
        <w:pStyle w:val="14"/>
        <w:spacing w:line="299" w:lineRule="exact"/>
        <w:ind w:firstLine="420"/>
        <w:jc w:val="both"/>
        <w:rPr>
          <w:color w:val="auto"/>
        </w:rPr>
      </w:pPr>
      <w:r>
        <w:rPr>
          <w:color w:val="auto"/>
        </w:rPr>
        <w:t>（三）考生只准携带必要的文具、计算工具以及主考教师事先指定携带的学习工具和材料。其他工具和材料一律不准带入考场，包括书籍、刊物、笔记本、各种文字材料、纸张、字典</w:t>
      </w:r>
      <w:r>
        <w:rPr>
          <w:rFonts w:hint="eastAsia"/>
          <w:color w:val="auto"/>
          <w:lang w:eastAsia="zh-CN"/>
        </w:rPr>
        <w:t>、</w:t>
      </w:r>
      <w:r>
        <w:rPr>
          <w:rFonts w:hint="eastAsia"/>
          <w:color w:val="auto"/>
          <w:lang w:val="en-US" w:eastAsia="zh-CN"/>
        </w:rPr>
        <w:t>各类电子产品、</w:t>
      </w:r>
      <w:r>
        <w:rPr>
          <w:color w:val="auto"/>
        </w:rPr>
        <w:t>手机等现代通讯工具以及其他具有信息传递或存储功能的工具。对于已经把上述工具和材料带入考场者，考生应在开始考试前将上述工具和材料等妥善处理后放置于监考人员指定的位置，通讯工具应保持关机状态，不得在考试期间使用（如用于查看时间等</w:t>
      </w:r>
      <w:r>
        <w:rPr>
          <w:color w:val="auto"/>
          <w:lang w:val="en-US" w:eastAsia="zh-CN" w:bidi="en-US"/>
        </w:rPr>
        <w:t>）</w:t>
      </w:r>
      <w:r>
        <w:rPr>
          <w:color w:val="auto"/>
        </w:rPr>
        <w:t>监考人员不负责保管，如有丢失或损坏，后果由携带者自负。</w:t>
      </w:r>
    </w:p>
    <w:p>
      <w:pPr>
        <w:pStyle w:val="14"/>
        <w:spacing w:line="299" w:lineRule="exact"/>
        <w:ind w:firstLine="420"/>
        <w:jc w:val="both"/>
        <w:rPr>
          <w:color w:val="auto"/>
        </w:rPr>
      </w:pPr>
      <w:r>
        <w:rPr>
          <w:color w:val="auto"/>
        </w:rPr>
        <w:t>（四）考生对试题有疑问应举手向监考人员小声发问，考生之间不准相互询问。</w:t>
      </w:r>
    </w:p>
    <w:p>
      <w:pPr>
        <w:pStyle w:val="14"/>
        <w:spacing w:line="299" w:lineRule="exact"/>
        <w:ind w:firstLine="420"/>
        <w:jc w:val="both"/>
        <w:rPr>
          <w:color w:val="auto"/>
        </w:rPr>
      </w:pPr>
      <w:r>
        <w:rPr>
          <w:color w:val="auto"/>
        </w:rPr>
        <w:t>（五）考生答题应用蓝（黑）色钢笔、圆珠笔、签字笔或主考人员指定的工具书写，涂答题卡须用</w:t>
      </w:r>
      <w:r>
        <w:rPr>
          <w:rFonts w:ascii="Times New Roman" w:hAnsi="Times New Roman" w:eastAsia="Times New Roman" w:cs="Times New Roman"/>
          <w:color w:val="auto"/>
          <w:sz w:val="20"/>
          <w:szCs w:val="20"/>
          <w:lang w:val="en-US" w:eastAsia="zh-CN" w:bidi="en-US"/>
        </w:rPr>
        <w:t>2B</w:t>
      </w:r>
      <w:r>
        <w:rPr>
          <w:color w:val="auto"/>
        </w:rPr>
        <w:t>铅笔。答题书写在草稿纸上一律无效。</w:t>
      </w:r>
    </w:p>
    <w:p>
      <w:pPr>
        <w:pStyle w:val="14"/>
        <w:spacing w:line="299" w:lineRule="exact"/>
        <w:ind w:firstLine="420"/>
        <w:jc w:val="both"/>
        <w:rPr>
          <w:color w:val="auto"/>
        </w:rPr>
      </w:pPr>
      <w:r>
        <w:rPr>
          <w:color w:val="auto"/>
        </w:rPr>
        <w:t>（六）考生在考场内应保持安静，不准吸烟</w:t>
      </w:r>
      <w:r>
        <w:rPr>
          <w:rFonts w:hint="eastAsia"/>
          <w:color w:val="auto"/>
          <w:lang w:val="en-US" w:eastAsia="zh-CN"/>
        </w:rPr>
        <w:t>和饮食</w:t>
      </w:r>
      <w:r>
        <w:rPr>
          <w:color w:val="auto"/>
        </w:rPr>
        <w:t>。考生之间不准交头接耳、打手势、做暗号、旁窥、夹带、抄袭或有意让他人抄袭答题内容，不准传接答案或纸条、透明胶带，不准交换试卷等。未经监考老师同意不得互借考试用具，如橡皮、计算器、圆规等。</w:t>
      </w:r>
    </w:p>
    <w:p>
      <w:pPr>
        <w:pStyle w:val="14"/>
        <w:spacing w:line="299" w:lineRule="exact"/>
        <w:ind w:firstLine="420"/>
        <w:jc w:val="both"/>
        <w:rPr>
          <w:color w:val="auto"/>
        </w:rPr>
      </w:pPr>
      <w:r>
        <w:rPr>
          <w:color w:val="auto"/>
        </w:rPr>
        <w:t>（七）考生在考试期间，一般不得离开考场。如有特殊情况需中途离场，考生应举手示意，经监考人员同意后并在监考老师陪同下可离开考场。离场作弊的，从严处理。</w:t>
      </w:r>
    </w:p>
    <w:p>
      <w:pPr>
        <w:pStyle w:val="14"/>
        <w:spacing w:line="299" w:lineRule="exact"/>
        <w:ind w:firstLine="420"/>
        <w:jc w:val="both"/>
        <w:rPr>
          <w:color w:val="auto"/>
        </w:rPr>
      </w:pPr>
      <w:r>
        <w:rPr>
          <w:color w:val="auto"/>
        </w:rPr>
        <w:t>（八）考试规定时间终了时，考生应立即停止答卷，将试卷、答题卡反扣后放在考位上，由监考人员统一收卷，待监考人员收齐并清点无误后，方可离开考场。试题、答题卡、答题纸（或答卷）不准带出考场。</w:t>
      </w:r>
    </w:p>
    <w:p>
      <w:pPr>
        <w:pStyle w:val="14"/>
        <w:spacing w:line="299" w:lineRule="exact"/>
        <w:ind w:firstLine="420"/>
        <w:jc w:val="both"/>
        <w:rPr>
          <w:color w:val="auto"/>
        </w:rPr>
      </w:pPr>
      <w:r>
        <w:rPr>
          <w:color w:val="auto"/>
        </w:rPr>
        <w:t>（九）交卷后考生应立即离开考场，不得在考场内逗留、议论，考生退场后不得再次进入考场。</w:t>
      </w:r>
    </w:p>
    <w:p>
      <w:pPr>
        <w:pStyle w:val="14"/>
        <w:spacing w:line="299" w:lineRule="exact"/>
        <w:ind w:firstLine="420"/>
        <w:jc w:val="both"/>
        <w:rPr>
          <w:color w:val="auto"/>
        </w:rPr>
      </w:pPr>
      <w:r>
        <w:rPr>
          <w:b/>
          <w:bCs/>
          <w:color w:val="auto"/>
        </w:rPr>
        <w:t>第二条</w:t>
      </w:r>
      <w:r>
        <w:rPr>
          <w:color w:val="auto"/>
        </w:rPr>
        <w:t>考生不遵守考试纪律，不服从考试工作人员的管理，有下列情况之一者，认定为考试违纪：</w:t>
      </w:r>
    </w:p>
    <w:p>
      <w:pPr>
        <w:pStyle w:val="14"/>
        <w:spacing w:line="299" w:lineRule="exact"/>
        <w:ind w:firstLine="420"/>
        <w:jc w:val="both"/>
        <w:rPr>
          <w:color w:val="auto"/>
        </w:rPr>
      </w:pPr>
      <w:r>
        <w:rPr>
          <w:color w:val="auto"/>
        </w:rPr>
        <w:t>（</w:t>
      </w:r>
      <w:r>
        <w:rPr>
          <w:rFonts w:hint="eastAsia"/>
          <w:color w:val="auto"/>
        </w:rPr>
        <w:t>一</w:t>
      </w:r>
      <w:r>
        <w:rPr>
          <w:color w:val="auto"/>
        </w:rPr>
        <w:t>）携带规定以外的物品进入考场</w:t>
      </w:r>
      <w:r>
        <w:rPr>
          <w:rFonts w:hint="eastAsia"/>
          <w:color w:val="auto"/>
          <w:lang w:val="en-US" w:eastAsia="zh-CN"/>
        </w:rPr>
        <w:t>并且</w:t>
      </w:r>
      <w:r>
        <w:rPr>
          <w:color w:val="auto"/>
        </w:rPr>
        <w:t>未放在指定位置；</w:t>
      </w:r>
    </w:p>
    <w:p>
      <w:pPr>
        <w:pStyle w:val="14"/>
        <w:spacing w:line="299" w:lineRule="exact"/>
        <w:ind w:firstLine="420"/>
        <w:jc w:val="both"/>
        <w:rPr>
          <w:color w:val="auto"/>
        </w:rPr>
      </w:pPr>
      <w:r>
        <w:rPr>
          <w:color w:val="auto"/>
        </w:rPr>
        <w:t>（二）不按指定座位就坐参加考试；</w:t>
      </w:r>
    </w:p>
    <w:p>
      <w:pPr>
        <w:pStyle w:val="14"/>
        <w:spacing w:line="299" w:lineRule="exact"/>
        <w:ind w:firstLine="420"/>
        <w:jc w:val="both"/>
        <w:rPr>
          <w:color w:val="auto"/>
        </w:rPr>
      </w:pPr>
      <w:r>
        <w:rPr>
          <w:color w:val="auto"/>
        </w:rPr>
        <w:t>（三）在开始考试指令发出前答题或考试终了继续答题；</w:t>
      </w:r>
    </w:p>
    <w:p>
      <w:pPr>
        <w:pStyle w:val="14"/>
        <w:spacing w:line="299" w:lineRule="exact"/>
        <w:ind w:firstLine="420"/>
        <w:jc w:val="both"/>
        <w:rPr>
          <w:color w:val="auto"/>
        </w:rPr>
      </w:pPr>
      <w:r>
        <w:rPr>
          <w:color w:val="auto"/>
        </w:rPr>
        <w:t>（四）在考场内吸烟、喧哗或有其它影响考场秩序行为；</w:t>
      </w:r>
    </w:p>
    <w:p>
      <w:pPr>
        <w:pStyle w:val="14"/>
        <w:spacing w:line="302" w:lineRule="exact"/>
        <w:ind w:firstLine="420"/>
        <w:jc w:val="both"/>
        <w:rPr>
          <w:color w:val="auto"/>
        </w:rPr>
      </w:pPr>
      <w:r>
        <w:rPr>
          <w:color w:val="auto"/>
        </w:rPr>
        <w:t>（五）在考试过程中旁窥、交头接耳、议论、互打暗号或手势，或未经允许传、接文具</w:t>
      </w:r>
      <w:r>
        <w:rPr>
          <w:rFonts w:hint="eastAsia"/>
          <w:color w:val="auto"/>
          <w:lang w:val="en-US" w:eastAsia="zh-CN"/>
        </w:rPr>
        <w:t>等物品</w:t>
      </w:r>
      <w:r>
        <w:rPr>
          <w:color w:val="auto"/>
        </w:rPr>
        <w:t>；</w:t>
      </w:r>
    </w:p>
    <w:p>
      <w:pPr>
        <w:pStyle w:val="14"/>
        <w:spacing w:line="302" w:lineRule="exact"/>
        <w:ind w:firstLine="420"/>
        <w:jc w:val="both"/>
        <w:rPr>
          <w:color w:val="auto"/>
        </w:rPr>
      </w:pPr>
      <w:r>
        <w:rPr>
          <w:color w:val="auto"/>
        </w:rPr>
        <w:t>（六）未经监考人员同意擅自离开考场，或将试卷、答卷（含答题卡、答题纸等）、草稿纸等所发放的考试材料带出考场；</w:t>
      </w:r>
    </w:p>
    <w:p>
      <w:pPr>
        <w:pStyle w:val="14"/>
        <w:spacing w:line="302" w:lineRule="exact"/>
        <w:ind w:firstLine="420"/>
        <w:jc w:val="both"/>
        <w:rPr>
          <w:color w:val="auto"/>
        </w:rPr>
      </w:pPr>
      <w:r>
        <w:rPr>
          <w:color w:val="auto"/>
        </w:rPr>
        <w:t>（七）妨碍考试工作人员执行考场公务；</w:t>
      </w:r>
    </w:p>
    <w:p>
      <w:pPr>
        <w:pStyle w:val="14"/>
        <w:spacing w:line="302" w:lineRule="exact"/>
        <w:ind w:firstLine="420"/>
        <w:jc w:val="both"/>
        <w:rPr>
          <w:color w:val="auto"/>
        </w:rPr>
      </w:pPr>
      <w:r>
        <w:rPr>
          <w:color w:val="auto"/>
        </w:rPr>
        <w:t>（八）通过各种不正当途径获得考试资格和考试成绩；</w:t>
      </w:r>
    </w:p>
    <w:p>
      <w:pPr>
        <w:pStyle w:val="14"/>
        <w:spacing w:line="302" w:lineRule="exact"/>
        <w:ind w:firstLine="420"/>
        <w:jc w:val="both"/>
        <w:rPr>
          <w:color w:val="auto"/>
        </w:rPr>
      </w:pPr>
      <w:r>
        <w:rPr>
          <w:color w:val="auto"/>
        </w:rPr>
        <w:t>（九）在试卷规定以外的地方书写姓名、考号或者以其他方式在答卷上标记信息的；</w:t>
      </w:r>
    </w:p>
    <w:p>
      <w:pPr>
        <w:pStyle w:val="14"/>
        <w:spacing w:line="302" w:lineRule="exact"/>
        <w:ind w:firstLine="420"/>
        <w:jc w:val="both"/>
        <w:rPr>
          <w:color w:val="auto"/>
        </w:rPr>
      </w:pPr>
      <w:r>
        <w:rPr>
          <w:color w:val="auto"/>
        </w:rPr>
        <w:t>（十）其他尚未构成作弊的违纪行为。</w:t>
      </w:r>
    </w:p>
    <w:p>
      <w:pPr>
        <w:pStyle w:val="14"/>
        <w:spacing w:line="302" w:lineRule="exact"/>
        <w:ind w:firstLine="420"/>
        <w:jc w:val="both"/>
        <w:rPr>
          <w:color w:val="auto"/>
        </w:rPr>
      </w:pPr>
      <w:r>
        <w:rPr>
          <w:b/>
          <w:bCs/>
          <w:color w:val="auto"/>
        </w:rPr>
        <w:t>第三条</w:t>
      </w:r>
      <w:r>
        <w:rPr>
          <w:color w:val="auto"/>
        </w:rPr>
        <w:t>考生严重违背考试公平公正、诚信原则，有下列情形之一的，认定为考试作弊</w:t>
      </w:r>
      <w:r>
        <w:rPr>
          <w:rFonts w:hint="eastAsia"/>
          <w:color w:val="auto"/>
        </w:rPr>
        <w:t>：</w:t>
      </w:r>
    </w:p>
    <w:p>
      <w:pPr>
        <w:pStyle w:val="14"/>
        <w:spacing w:line="302" w:lineRule="exact"/>
        <w:ind w:firstLine="420"/>
        <w:jc w:val="both"/>
        <w:rPr>
          <w:color w:val="auto"/>
        </w:rPr>
      </w:pPr>
      <w:r>
        <w:rPr>
          <w:color w:val="auto"/>
        </w:rPr>
        <w:t>（</w:t>
      </w:r>
      <w:r>
        <w:rPr>
          <w:rFonts w:ascii="Times New Roman" w:hAnsi="Times New Roman" w:eastAsia="Times New Roman" w:cs="Times New Roman"/>
          <w:color w:val="auto"/>
          <w:sz w:val="20"/>
          <w:szCs w:val="20"/>
        </w:rPr>
        <w:t>1</w:t>
      </w:r>
      <w:r>
        <w:rPr>
          <w:color w:val="auto"/>
        </w:rPr>
        <w:t>）夹带与考试课程相关的文字材料或资料（考前允许携带的材料除外）的；</w:t>
      </w:r>
    </w:p>
    <w:p>
      <w:pPr>
        <w:pStyle w:val="14"/>
        <w:spacing w:line="302"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2</w:t>
      </w:r>
      <w:r>
        <w:rPr>
          <w:color w:val="auto"/>
          <w:szCs w:val="20"/>
        </w:rPr>
        <w:t>）</w:t>
      </w:r>
      <w:r>
        <w:rPr>
          <w:color w:val="auto"/>
        </w:rPr>
        <w:t>抄袭他人答卷或协助他人抄袭答卷；</w:t>
      </w:r>
    </w:p>
    <w:p>
      <w:pPr>
        <w:pStyle w:val="14"/>
        <w:spacing w:line="302"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3</w:t>
      </w:r>
      <w:r>
        <w:rPr>
          <w:color w:val="auto"/>
          <w:szCs w:val="20"/>
        </w:rPr>
        <w:t>）</w:t>
      </w:r>
      <w:r>
        <w:rPr>
          <w:color w:val="auto"/>
        </w:rPr>
        <w:t>抢夺、窃取他人试卷、答卷或者强迫他人为自己抄袭提供方便；</w:t>
      </w:r>
    </w:p>
    <w:p>
      <w:pPr>
        <w:pStyle w:val="14"/>
        <w:spacing w:line="302"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4</w:t>
      </w:r>
      <w:r>
        <w:rPr>
          <w:color w:val="auto"/>
          <w:szCs w:val="20"/>
        </w:rPr>
        <w:t>）</w:t>
      </w:r>
      <w:r>
        <w:rPr>
          <w:color w:val="auto"/>
        </w:rPr>
        <w:t>传、接或交换答案、试卷、答题纸（卡）、草稿纸、考试课程相关的材料等；</w:t>
      </w:r>
    </w:p>
    <w:p>
      <w:pPr>
        <w:pStyle w:val="14"/>
        <w:spacing w:line="302" w:lineRule="exact"/>
        <w:ind w:firstLine="420"/>
        <w:jc w:val="both"/>
        <w:rPr>
          <w:color w:val="auto"/>
        </w:rPr>
      </w:pPr>
      <w:r>
        <w:rPr>
          <w:color w:val="auto"/>
        </w:rPr>
        <w:t>（</w:t>
      </w:r>
      <w:r>
        <w:rPr>
          <w:rFonts w:ascii="Times New Roman" w:hAnsi="Times New Roman" w:eastAsia="Times New Roman" w:cs="Times New Roman"/>
          <w:color w:val="auto"/>
          <w:sz w:val="20"/>
          <w:szCs w:val="20"/>
        </w:rPr>
        <w:t>5</w:t>
      </w:r>
      <w:r>
        <w:rPr>
          <w:color w:val="auto"/>
        </w:rPr>
        <w:t>）使用手机等各种通讯工具的，或未经允许使用电子设备的；</w:t>
      </w:r>
    </w:p>
    <w:p>
      <w:pPr>
        <w:pStyle w:val="14"/>
        <w:spacing w:line="302" w:lineRule="exact"/>
        <w:ind w:firstLine="420"/>
        <w:jc w:val="both"/>
        <w:rPr>
          <w:color w:val="auto"/>
        </w:rPr>
      </w:pPr>
      <w:r>
        <w:rPr>
          <w:color w:val="auto"/>
        </w:rPr>
        <w:t>（</w:t>
      </w:r>
      <w:r>
        <w:rPr>
          <w:rFonts w:ascii="Times New Roman" w:hAnsi="Times New Roman" w:eastAsia="Times New Roman" w:cs="Times New Roman"/>
          <w:color w:val="auto"/>
          <w:sz w:val="20"/>
          <w:szCs w:val="20"/>
        </w:rPr>
        <w:t>6</w:t>
      </w:r>
      <w:r>
        <w:rPr>
          <w:color w:val="auto"/>
        </w:rPr>
        <w:t>）未经同意取回已交答卷并进行涂改的；</w:t>
      </w:r>
    </w:p>
    <w:p>
      <w:pPr>
        <w:pStyle w:val="14"/>
        <w:spacing w:line="302"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7</w:t>
      </w:r>
      <w:r>
        <w:rPr>
          <w:color w:val="auto"/>
          <w:szCs w:val="20"/>
        </w:rPr>
        <w:t>）</w:t>
      </w:r>
      <w:r>
        <w:rPr>
          <w:color w:val="auto"/>
        </w:rPr>
        <w:t>故意销毁试卷、答卷、答题卡或者所发放的考试材料；</w:t>
      </w:r>
    </w:p>
    <w:p>
      <w:pPr>
        <w:pStyle w:val="14"/>
        <w:spacing w:line="302"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8</w:t>
      </w:r>
      <w:r>
        <w:rPr>
          <w:color w:val="auto"/>
          <w:szCs w:val="20"/>
        </w:rPr>
        <w:t>）</w:t>
      </w:r>
      <w:r>
        <w:rPr>
          <w:color w:val="auto"/>
        </w:rPr>
        <w:t>通过伪造证件、证明、档案及其他材料获得考试资格和考试成绩的；</w:t>
      </w:r>
    </w:p>
    <w:p>
      <w:pPr>
        <w:pStyle w:val="14"/>
        <w:spacing w:after="60" w:line="302"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9</w:t>
      </w:r>
      <w:r>
        <w:rPr>
          <w:color w:val="auto"/>
          <w:szCs w:val="20"/>
        </w:rPr>
        <w:t>）</w:t>
      </w:r>
      <w:r>
        <w:rPr>
          <w:color w:val="auto"/>
        </w:rPr>
        <w:t>评卷过程中被发现同一科目同一考场有两份以上（含两份）答卷答案雷同的；</w:t>
      </w:r>
    </w:p>
    <w:p>
      <w:pPr>
        <w:pStyle w:val="14"/>
        <w:spacing w:line="317" w:lineRule="auto"/>
        <w:ind w:firstLine="420"/>
        <w:jc w:val="both"/>
        <w:rPr>
          <w:color w:val="auto"/>
        </w:rPr>
      </w:pPr>
      <w:r>
        <w:rPr>
          <w:rFonts w:hint="eastAsia"/>
          <w:color w:val="auto"/>
          <w:szCs w:val="20"/>
        </w:rPr>
        <w:t>（</w:t>
      </w:r>
      <w:r>
        <w:rPr>
          <w:rFonts w:ascii="Times New Roman" w:hAnsi="Times New Roman" w:eastAsia="Times New Roman" w:cs="Times New Roman"/>
          <w:color w:val="auto"/>
          <w:sz w:val="20"/>
          <w:szCs w:val="20"/>
        </w:rPr>
        <w:t>10</w:t>
      </w:r>
      <w:r>
        <w:rPr>
          <w:color w:val="auto"/>
          <w:szCs w:val="20"/>
        </w:rPr>
        <w:t>）</w:t>
      </w:r>
      <w:r>
        <w:rPr>
          <w:color w:val="auto"/>
        </w:rPr>
        <w:t>其他作弊行为。</w:t>
      </w:r>
    </w:p>
    <w:p>
      <w:pPr>
        <w:pStyle w:val="14"/>
        <w:spacing w:line="304" w:lineRule="exact"/>
        <w:ind w:firstLine="420"/>
        <w:jc w:val="both"/>
        <w:rPr>
          <w:color w:val="auto"/>
        </w:rPr>
      </w:pPr>
      <w:r>
        <w:rPr>
          <w:b/>
          <w:bCs/>
          <w:color w:val="auto"/>
        </w:rPr>
        <w:t>第四条</w:t>
      </w:r>
      <w:r>
        <w:rPr>
          <w:color w:val="auto"/>
        </w:rPr>
        <w:t>考生考试作弊行为性质恶劣、后果严重</w:t>
      </w:r>
      <w:r>
        <w:rPr>
          <w:rFonts w:hint="eastAsia"/>
          <w:color w:val="auto"/>
        </w:rPr>
        <w:t>，</w:t>
      </w:r>
      <w:r>
        <w:rPr>
          <w:color w:val="auto"/>
        </w:rPr>
        <w:t>有下列情形之一的，认定为考试严重作弊：</w:t>
      </w:r>
    </w:p>
    <w:p>
      <w:pPr>
        <w:pStyle w:val="14"/>
        <w:spacing w:line="304" w:lineRule="exact"/>
        <w:ind w:firstLine="420"/>
        <w:jc w:val="both"/>
        <w:rPr>
          <w:color w:val="auto"/>
        </w:rPr>
      </w:pPr>
      <w:r>
        <w:rPr>
          <w:color w:val="auto"/>
        </w:rPr>
        <w:t>（</w:t>
      </w:r>
      <w:r>
        <w:rPr>
          <w:rFonts w:ascii="Times New Roman" w:hAnsi="Times New Roman" w:eastAsia="Times New Roman" w:cs="Times New Roman"/>
          <w:color w:val="auto"/>
          <w:sz w:val="20"/>
          <w:szCs w:val="20"/>
        </w:rPr>
        <w:t>1</w:t>
      </w:r>
      <w:r>
        <w:rPr>
          <w:rFonts w:hint="eastAsia"/>
          <w:color w:val="auto"/>
          <w:szCs w:val="20"/>
        </w:rPr>
        <w:t>）</w:t>
      </w:r>
      <w:r>
        <w:rPr>
          <w:color w:val="auto"/>
        </w:rPr>
        <w:t>请他人代考或代替他人参加考试；</w:t>
      </w:r>
    </w:p>
    <w:p>
      <w:pPr>
        <w:pStyle w:val="14"/>
        <w:spacing w:line="304" w:lineRule="exact"/>
        <w:jc w:val="both"/>
        <w:rPr>
          <w:color w:val="auto"/>
        </w:rPr>
      </w:pPr>
      <w:r>
        <w:rPr>
          <w:color w:val="auto"/>
          <w:szCs w:val="20"/>
        </w:rPr>
        <w:t>（</w:t>
      </w:r>
      <w:r>
        <w:rPr>
          <w:rFonts w:ascii="Times New Roman" w:hAnsi="Times New Roman" w:eastAsia="Times New Roman" w:cs="Times New Roman"/>
          <w:color w:val="auto"/>
          <w:sz w:val="20"/>
          <w:szCs w:val="20"/>
        </w:rPr>
        <w:t>2</w:t>
      </w:r>
      <w:r>
        <w:rPr>
          <w:color w:val="auto"/>
          <w:szCs w:val="20"/>
        </w:rPr>
        <w:t>）</w:t>
      </w:r>
      <w:r>
        <w:rPr>
          <w:color w:val="auto"/>
        </w:rPr>
        <w:t>组织群体作弊；</w:t>
      </w:r>
    </w:p>
    <w:p>
      <w:pPr>
        <w:pStyle w:val="14"/>
        <w:spacing w:line="304"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3</w:t>
      </w:r>
      <w:r>
        <w:rPr>
          <w:color w:val="auto"/>
          <w:szCs w:val="20"/>
        </w:rPr>
        <w:t>）</w:t>
      </w:r>
      <w:r>
        <w:rPr>
          <w:color w:val="auto"/>
        </w:rPr>
        <w:t>使用通讯设备作弊；</w:t>
      </w:r>
    </w:p>
    <w:p>
      <w:pPr>
        <w:pStyle w:val="14"/>
        <w:spacing w:after="60" w:line="304"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4</w:t>
      </w:r>
      <w:r>
        <w:rPr>
          <w:color w:val="auto"/>
          <w:szCs w:val="20"/>
        </w:rPr>
        <w:t>）</w:t>
      </w:r>
      <w:r>
        <w:rPr>
          <w:color w:val="auto"/>
        </w:rPr>
        <w:t>发生考试违纪或作弊行为后销毁证据，现场对抗、威胁、伤害、侮辱、诽谤或诬陷考试工作人员或监考人员；</w:t>
      </w:r>
    </w:p>
    <w:p>
      <w:pPr>
        <w:pStyle w:val="14"/>
        <w:spacing w:line="317" w:lineRule="auto"/>
        <w:ind w:firstLine="420"/>
        <w:jc w:val="both"/>
        <w:rPr>
          <w:color w:val="auto"/>
        </w:rPr>
      </w:pPr>
      <w:r>
        <w:rPr>
          <w:rFonts w:hint="eastAsia"/>
          <w:color w:val="auto"/>
          <w:szCs w:val="20"/>
        </w:rPr>
        <w:t>（</w:t>
      </w:r>
      <w:r>
        <w:rPr>
          <w:rFonts w:ascii="Times New Roman" w:hAnsi="Times New Roman" w:eastAsia="Times New Roman" w:cs="Times New Roman"/>
          <w:color w:val="auto"/>
          <w:sz w:val="20"/>
          <w:szCs w:val="20"/>
        </w:rPr>
        <w:t>5</w:t>
      </w:r>
      <w:r>
        <w:rPr>
          <w:rFonts w:hint="eastAsia"/>
          <w:color w:val="auto"/>
          <w:szCs w:val="20"/>
        </w:rPr>
        <w:t>）</w:t>
      </w:r>
      <w:r>
        <w:rPr>
          <w:color w:val="auto"/>
        </w:rPr>
        <w:t>其他严重作弊行为。</w:t>
      </w:r>
    </w:p>
    <w:p>
      <w:pPr>
        <w:pStyle w:val="14"/>
        <w:spacing w:line="304" w:lineRule="exact"/>
        <w:ind w:firstLine="420"/>
        <w:jc w:val="both"/>
        <w:rPr>
          <w:color w:val="auto"/>
        </w:rPr>
      </w:pPr>
      <w:r>
        <w:rPr>
          <w:b/>
          <w:bCs/>
          <w:color w:val="auto"/>
        </w:rPr>
        <w:t>第五条</w:t>
      </w:r>
      <w:r>
        <w:rPr>
          <w:color w:val="auto"/>
        </w:rPr>
        <w:t>考试违规处理</w:t>
      </w:r>
    </w:p>
    <w:p>
      <w:pPr>
        <w:pStyle w:val="14"/>
        <w:spacing w:line="304" w:lineRule="exact"/>
        <w:ind w:left="420" w:firstLine="0"/>
        <w:jc w:val="both"/>
        <w:rPr>
          <w:color w:val="auto"/>
        </w:rPr>
      </w:pPr>
      <w:r>
        <w:rPr>
          <w:color w:val="auto"/>
        </w:rPr>
        <w:t>（</w:t>
      </w:r>
      <w:r>
        <w:rPr>
          <w:rFonts w:hint="eastAsia"/>
          <w:color w:val="auto"/>
        </w:rPr>
        <w:t>一</w:t>
      </w:r>
      <w:r>
        <w:rPr>
          <w:color w:val="auto"/>
        </w:rPr>
        <w:t>）对于考试违纪的考生，监考人员应给予批评教育，进行口头警告、调换考试位置等。经教育仍不悔改的考生，监考人员应责令其中止考试、立即退出考场。</w:t>
      </w:r>
    </w:p>
    <w:p>
      <w:pPr>
        <w:pStyle w:val="14"/>
        <w:spacing w:line="304" w:lineRule="exact"/>
        <w:ind w:left="420" w:firstLine="0"/>
        <w:jc w:val="both"/>
        <w:rPr>
          <w:color w:val="auto"/>
        </w:rPr>
      </w:pPr>
      <w:r>
        <w:rPr>
          <w:color w:val="auto"/>
        </w:rPr>
        <w:t>（二）对于考试作弊的考生，监考人员应责令其中止考试、立即退出考场。</w:t>
      </w:r>
    </w:p>
    <w:p>
      <w:pPr>
        <w:pStyle w:val="14"/>
        <w:spacing w:line="304" w:lineRule="exact"/>
        <w:ind w:firstLine="420"/>
        <w:jc w:val="both"/>
        <w:rPr>
          <w:color w:val="auto"/>
        </w:rPr>
      </w:pPr>
      <w:r>
        <w:rPr>
          <w:color w:val="auto"/>
        </w:rPr>
        <w:t>（三）出现违纪、作弊事件后，监考人员应在考试记录表上详细记录违纪、作弊事实，主、副监考人员应共同予以确认并签字，并把证据和证明材料一并及时交主管部门。学校根据《</w:t>
      </w:r>
      <w:r>
        <w:rPr>
          <w:color w:val="auto"/>
          <w:lang w:val="zh-CN" w:eastAsia="zh-CN" w:bidi="zh-CN"/>
        </w:rPr>
        <w:t>南</w:t>
      </w:r>
      <w:r>
        <w:rPr>
          <w:color w:val="auto"/>
        </w:rPr>
        <w:t>京航空航天大学金城学院学生违纪处分办法》进行处理。</w:t>
      </w:r>
    </w:p>
    <w:p>
      <w:pPr>
        <w:pStyle w:val="14"/>
        <w:spacing w:line="304" w:lineRule="exact"/>
        <w:ind w:firstLine="420"/>
        <w:jc w:val="both"/>
        <w:rPr>
          <w:color w:val="auto"/>
        </w:rPr>
      </w:pPr>
      <w:r>
        <w:rPr>
          <w:b/>
          <w:bCs/>
          <w:color w:val="auto"/>
        </w:rPr>
        <w:t>第六条</w:t>
      </w:r>
      <w:r>
        <w:rPr>
          <w:color w:val="auto"/>
        </w:rPr>
        <w:t>附则</w:t>
      </w:r>
    </w:p>
    <w:p>
      <w:pPr>
        <w:widowControl/>
        <w:ind w:firstLine="400" w:firstLineChars="200"/>
        <w:rPr>
          <w:color w:val="auto"/>
          <w:lang w:eastAsia="zh-CN"/>
        </w:rPr>
      </w:pPr>
      <w:r>
        <w:rPr>
          <w:color w:val="auto"/>
          <w:lang w:eastAsia="zh-CN"/>
        </w:rPr>
        <w:t>（</w:t>
      </w:r>
      <w:r>
        <w:rPr>
          <w:rFonts w:hint="eastAsia"/>
          <w:color w:val="auto"/>
          <w:lang w:eastAsia="zh-CN"/>
        </w:rPr>
        <w:t>一</w:t>
      </w:r>
      <w:r>
        <w:rPr>
          <w:color w:val="auto"/>
          <w:lang w:eastAsia="zh-CN"/>
        </w:rPr>
        <w:t>）本规定适用于本校各类在籍学生</w:t>
      </w:r>
      <w:r>
        <w:rPr>
          <w:rFonts w:hint="eastAsia"/>
          <w:color w:val="auto"/>
          <w:lang w:eastAsia="zh-CN"/>
        </w:rPr>
        <w:t>及换证考试学生（换证考试学生如发现违纪或作弊事件，直接取消该生换证资格）</w:t>
      </w:r>
      <w:r>
        <w:rPr>
          <w:color w:val="auto"/>
          <w:lang w:eastAsia="zh-CN"/>
        </w:rPr>
        <w:t>。</w:t>
      </w:r>
    </w:p>
    <w:p>
      <w:pPr>
        <w:pStyle w:val="14"/>
        <w:spacing w:line="304" w:lineRule="exact"/>
        <w:ind w:firstLine="420"/>
        <w:jc w:val="both"/>
        <w:rPr>
          <w:color w:val="auto"/>
        </w:rPr>
      </w:pPr>
      <w:r>
        <w:rPr>
          <w:color w:val="auto"/>
        </w:rPr>
        <w:t>（二）开卷考试或其它考试形式，除可携带主考教师指定的有关书籍、资料或主考教师另有要求外，其余均按本规定条款执行。</w:t>
      </w:r>
    </w:p>
    <w:p>
      <w:pPr>
        <w:pStyle w:val="14"/>
        <w:spacing w:line="304" w:lineRule="exact"/>
        <w:ind w:firstLine="420"/>
        <w:jc w:val="both"/>
        <w:rPr>
          <w:color w:val="auto"/>
        </w:rPr>
      </w:pPr>
      <w:r>
        <w:rPr>
          <w:color w:val="auto"/>
        </w:rPr>
        <w:t>（三）在学校举行的国家或省级考试，按上级有关文件中的考试规章执行，没有专门规章的，按本规定执行</w:t>
      </w:r>
      <w:r>
        <w:rPr>
          <w:color w:val="auto"/>
          <w:lang w:val="en-US" w:eastAsia="zh-CN" w:bidi="en-US"/>
        </w:rPr>
        <w:t>。</w:t>
      </w:r>
    </w:p>
    <w:p>
      <w:pPr>
        <w:pStyle w:val="14"/>
        <w:spacing w:line="304" w:lineRule="exact"/>
        <w:ind w:firstLine="420"/>
        <w:jc w:val="both"/>
        <w:rPr>
          <w:color w:val="auto"/>
        </w:rPr>
      </w:pPr>
      <w:r>
        <w:rPr>
          <w:color w:val="auto"/>
        </w:rPr>
        <w:t>（四）本规定自</w:t>
      </w:r>
      <w:r>
        <w:rPr>
          <w:rFonts w:ascii="Times New Roman" w:hAnsi="Times New Roman" w:eastAsia="Times New Roman" w:cs="Times New Roman"/>
          <w:color w:val="auto"/>
          <w:sz w:val="20"/>
          <w:szCs w:val="20"/>
        </w:rPr>
        <w:t>2005</w:t>
      </w:r>
      <w:r>
        <w:rPr>
          <w:color w:val="auto"/>
        </w:rPr>
        <w:t>年</w:t>
      </w:r>
      <w:r>
        <w:rPr>
          <w:rFonts w:ascii="Times New Roman" w:hAnsi="Times New Roman" w:eastAsia="Times New Roman" w:cs="Times New Roman"/>
          <w:color w:val="auto"/>
          <w:sz w:val="20"/>
          <w:szCs w:val="20"/>
        </w:rPr>
        <w:t>9</w:t>
      </w:r>
      <w:r>
        <w:rPr>
          <w:color w:val="auto"/>
        </w:rPr>
        <w:t>月</w:t>
      </w:r>
      <w:r>
        <w:rPr>
          <w:rFonts w:ascii="Times New Roman" w:hAnsi="Times New Roman" w:eastAsia="Times New Roman" w:cs="Times New Roman"/>
          <w:color w:val="auto"/>
          <w:sz w:val="20"/>
          <w:szCs w:val="20"/>
        </w:rPr>
        <w:t>1</w:t>
      </w:r>
      <w:r>
        <w:rPr>
          <w:color w:val="auto"/>
        </w:rPr>
        <w:t>日起执行，教学科研处负责解释。</w:t>
      </w:r>
    </w:p>
    <w:p>
      <w:pPr>
        <w:rPr>
          <w:rFonts w:ascii="宋体" w:hAnsi="宋体"/>
          <w:color w:val="auto"/>
          <w:sz w:val="18"/>
          <w:lang w:val="zh-TW" w:eastAsia="zh-TW" w:bidi="zh-TW"/>
        </w:rPr>
      </w:pPr>
      <w:r>
        <w:rPr>
          <w:color w:val="auto"/>
          <w:lang w:eastAsia="zh-CN"/>
        </w:rPr>
        <w:br w:type="page"/>
      </w:r>
    </w:p>
    <w:p>
      <w:pPr>
        <w:pStyle w:val="12"/>
        <w:keepNext/>
        <w:keepLines/>
        <w:spacing w:before="0" w:after="80" w:line="595" w:lineRule="exact"/>
        <w:rPr>
          <w:rFonts w:hint="eastAsia" w:eastAsia="宋体"/>
          <w:color w:val="auto"/>
          <w:lang w:eastAsia="zh-CN"/>
        </w:rPr>
      </w:pPr>
      <w:bookmarkStart w:id="242" w:name="bookmark366"/>
      <w:bookmarkStart w:id="243" w:name="bookmark368"/>
      <w:bookmarkStart w:id="244" w:name="bookmark367"/>
      <w:r>
        <w:rPr>
          <w:color w:val="auto"/>
        </w:rPr>
        <w:t>南京航空航天大学金城学院</w:t>
      </w:r>
    </w:p>
    <w:p>
      <w:pPr>
        <w:pStyle w:val="12"/>
        <w:keepNext/>
        <w:keepLines/>
        <w:spacing w:before="0" w:after="80" w:line="595" w:lineRule="exact"/>
        <w:rPr>
          <w:color w:val="auto"/>
        </w:rPr>
      </w:pPr>
      <w:r>
        <w:rPr>
          <w:color w:val="auto"/>
        </w:rPr>
        <w:t>学生成绩管理办法</w:t>
      </w:r>
      <w:r>
        <w:rPr>
          <w:rFonts w:hint="eastAsia"/>
          <w:color w:val="auto"/>
        </w:rPr>
        <w:t>（</w:t>
      </w:r>
      <w:r>
        <w:rPr>
          <w:color w:val="auto"/>
        </w:rPr>
        <w:t>暂行）</w:t>
      </w:r>
      <w:bookmarkEnd w:id="242"/>
      <w:bookmarkEnd w:id="243"/>
      <w:bookmarkEnd w:id="244"/>
    </w:p>
    <w:p>
      <w:pPr>
        <w:pStyle w:val="14"/>
        <w:spacing w:after="280" w:line="300" w:lineRule="exact"/>
        <w:ind w:firstLine="0"/>
        <w:jc w:val="center"/>
        <w:rPr>
          <w:color w:val="auto"/>
        </w:rPr>
      </w:pPr>
      <w:r>
        <w:rPr>
          <w:color w:val="auto"/>
        </w:rPr>
        <w:t>（</w:t>
      </w:r>
      <w:r>
        <w:rPr>
          <w:rFonts w:ascii="Times New Roman" w:hAnsi="Times New Roman" w:eastAsia="Times New Roman" w:cs="Times New Roman"/>
          <w:color w:val="auto"/>
          <w:sz w:val="20"/>
          <w:szCs w:val="20"/>
        </w:rPr>
        <w:t>2015</w:t>
      </w:r>
      <w:r>
        <w:rPr>
          <w:color w:val="auto"/>
        </w:rPr>
        <w:t>年</w:t>
      </w:r>
      <w:r>
        <w:rPr>
          <w:rFonts w:ascii="Times New Roman" w:hAnsi="Times New Roman" w:eastAsia="Times New Roman" w:cs="Times New Roman"/>
          <w:color w:val="auto"/>
          <w:sz w:val="20"/>
          <w:szCs w:val="20"/>
        </w:rPr>
        <w:t>7</w:t>
      </w:r>
      <w:r>
        <w:rPr>
          <w:color w:val="auto"/>
        </w:rPr>
        <w:t>月修订）</w:t>
      </w:r>
    </w:p>
    <w:p>
      <w:pPr>
        <w:pStyle w:val="14"/>
        <w:spacing w:line="300" w:lineRule="exact"/>
        <w:ind w:left="420" w:firstLine="0"/>
        <w:jc w:val="both"/>
        <w:rPr>
          <w:color w:val="auto"/>
          <w:lang w:eastAsia="zh-CN"/>
        </w:rPr>
      </w:pPr>
      <w:r>
        <w:rPr>
          <w:color w:val="auto"/>
        </w:rPr>
        <w:t>为进一步规范成绩管理制度，保障教学质量，结合我校的实际情况，特制定本办法。</w:t>
      </w:r>
    </w:p>
    <w:p>
      <w:pPr>
        <w:pStyle w:val="14"/>
        <w:spacing w:line="300" w:lineRule="exact"/>
        <w:ind w:left="420" w:firstLine="0"/>
        <w:jc w:val="both"/>
        <w:rPr>
          <w:color w:val="auto"/>
        </w:rPr>
      </w:pPr>
      <w:r>
        <w:rPr>
          <w:b/>
          <w:bCs/>
          <w:color w:val="auto"/>
          <w:lang w:val="zh-CN" w:eastAsia="zh-CN" w:bidi="zh-CN"/>
        </w:rPr>
        <w:t>第一条</w:t>
      </w:r>
      <w:r>
        <w:rPr>
          <w:color w:val="auto"/>
        </w:rPr>
        <w:t>成绩管理模式</w:t>
      </w:r>
    </w:p>
    <w:p>
      <w:pPr>
        <w:pStyle w:val="14"/>
        <w:spacing w:line="300" w:lineRule="exact"/>
        <w:ind w:firstLine="420"/>
        <w:jc w:val="both"/>
        <w:rPr>
          <w:color w:val="auto"/>
        </w:rPr>
      </w:pPr>
      <w:r>
        <w:rPr>
          <w:color w:val="auto"/>
        </w:rPr>
        <w:t>（</w:t>
      </w:r>
      <w:r>
        <w:rPr>
          <w:rFonts w:hint="eastAsia"/>
          <w:color w:val="auto"/>
        </w:rPr>
        <w:t>一</w:t>
      </w:r>
      <w:r>
        <w:rPr>
          <w:color w:val="auto"/>
        </w:rPr>
        <w:t>）学生成绩管理实行学校、学院两级管理。</w:t>
      </w:r>
    </w:p>
    <w:p>
      <w:pPr>
        <w:pStyle w:val="14"/>
        <w:tabs>
          <w:tab w:val="left" w:pos="1062"/>
        </w:tabs>
        <w:spacing w:line="300" w:lineRule="exact"/>
        <w:ind w:firstLine="420"/>
        <w:jc w:val="both"/>
        <w:rPr>
          <w:color w:val="auto"/>
        </w:rPr>
      </w:pPr>
      <w:r>
        <w:rPr>
          <w:color w:val="auto"/>
        </w:rPr>
        <w:t>（二）各教学部门、有关教学单位负责本单位所开设课程的成绩登录、报送、查询工作。</w:t>
      </w:r>
    </w:p>
    <w:p>
      <w:pPr>
        <w:pStyle w:val="14"/>
        <w:spacing w:line="300" w:lineRule="exact"/>
        <w:ind w:firstLine="420"/>
        <w:jc w:val="both"/>
        <w:rPr>
          <w:color w:val="auto"/>
        </w:rPr>
      </w:pPr>
      <w:r>
        <w:rPr>
          <w:color w:val="auto"/>
        </w:rPr>
        <w:t>（三）教学科研处负责全校学生成绩的审核发布、监管和数据维护。</w:t>
      </w:r>
    </w:p>
    <w:p>
      <w:pPr>
        <w:pStyle w:val="14"/>
        <w:spacing w:line="300" w:lineRule="exact"/>
        <w:ind w:firstLine="420"/>
        <w:jc w:val="both"/>
        <w:rPr>
          <w:color w:val="auto"/>
        </w:rPr>
      </w:pPr>
      <w:r>
        <w:rPr>
          <w:b/>
          <w:bCs/>
          <w:color w:val="auto"/>
        </w:rPr>
        <w:t>第二条</w:t>
      </w:r>
      <w:r>
        <w:rPr>
          <w:color w:val="auto"/>
        </w:rPr>
        <w:t>成绩的评定与报送</w:t>
      </w:r>
    </w:p>
    <w:p>
      <w:pPr>
        <w:pStyle w:val="14"/>
        <w:spacing w:line="300" w:lineRule="exact"/>
        <w:ind w:firstLine="420"/>
        <w:jc w:val="both"/>
        <w:rPr>
          <w:color w:val="auto"/>
        </w:rPr>
      </w:pPr>
      <w:r>
        <w:rPr>
          <w:color w:val="auto"/>
        </w:rPr>
        <w:t>（</w:t>
      </w:r>
      <w:r>
        <w:rPr>
          <w:rFonts w:hint="eastAsia"/>
          <w:color w:val="auto"/>
        </w:rPr>
        <w:t>一</w:t>
      </w:r>
      <w:r>
        <w:rPr>
          <w:color w:val="auto"/>
        </w:rPr>
        <w:t>）任课教师应在规定时间内在网上提交学生成绩，并提交纸质成绩上报表。不停课考试成绩上报在</w:t>
      </w:r>
      <w:r>
        <w:rPr>
          <w:rFonts w:ascii="Times New Roman" w:hAnsi="Times New Roman" w:eastAsia="Times New Roman" w:cs="Times New Roman"/>
          <w:color w:val="auto"/>
          <w:sz w:val="20"/>
          <w:szCs w:val="20"/>
        </w:rPr>
        <w:t>10</w:t>
      </w:r>
      <w:r>
        <w:rPr>
          <w:color w:val="auto"/>
        </w:rPr>
        <w:t>个工作日内完成，如考试在停课考试前一周进行的，成绩上报不得超过停课考试成绩上报的时间要求</w:t>
      </w:r>
      <w:r>
        <w:rPr>
          <w:rFonts w:hint="eastAsia"/>
          <w:color w:val="auto"/>
        </w:rPr>
        <w:t>；</w:t>
      </w:r>
      <w:r>
        <w:rPr>
          <w:color w:val="auto"/>
        </w:rPr>
        <w:t>停课考试成绩上报在停课考试结束后</w:t>
      </w:r>
      <w:r>
        <w:rPr>
          <w:rFonts w:hint="eastAsia" w:ascii="Times New Roman" w:hAnsi="Times New Roman" w:cs="Times New Roman"/>
          <w:color w:val="auto"/>
          <w:sz w:val="20"/>
          <w:szCs w:val="20"/>
          <w:lang w:val="en-US" w:eastAsia="zh-CN"/>
        </w:rPr>
        <w:t>3</w:t>
      </w:r>
      <w:r>
        <w:rPr>
          <w:color w:val="auto"/>
        </w:rPr>
        <w:t>天内完成</w:t>
      </w:r>
      <w:r>
        <w:rPr>
          <w:rFonts w:hint="eastAsia"/>
          <w:color w:val="auto"/>
        </w:rPr>
        <w:t>；</w:t>
      </w:r>
      <w:r>
        <w:rPr>
          <w:color w:val="auto"/>
        </w:rPr>
        <w:t>补考成绩上报在补考结束后</w:t>
      </w:r>
      <w:r>
        <w:rPr>
          <w:rFonts w:ascii="Times New Roman" w:hAnsi="Times New Roman" w:eastAsia="Times New Roman" w:cs="Times New Roman"/>
          <w:color w:val="auto"/>
          <w:sz w:val="20"/>
          <w:szCs w:val="20"/>
        </w:rPr>
        <w:t>3</w:t>
      </w:r>
      <w:r>
        <w:rPr>
          <w:rFonts w:hint="eastAsia"/>
          <w:color w:val="auto"/>
          <w:lang w:val="en-US" w:eastAsia="zh-CN"/>
        </w:rPr>
        <w:t>天</w:t>
      </w:r>
      <w:r>
        <w:rPr>
          <w:color w:val="auto"/>
        </w:rPr>
        <w:t>内完成。</w:t>
      </w:r>
    </w:p>
    <w:p>
      <w:pPr>
        <w:pStyle w:val="14"/>
        <w:spacing w:line="300" w:lineRule="exact"/>
        <w:ind w:firstLine="420"/>
        <w:jc w:val="both"/>
        <w:rPr>
          <w:color w:val="auto"/>
        </w:rPr>
      </w:pPr>
      <w:r>
        <w:rPr>
          <w:color w:val="auto"/>
        </w:rPr>
        <w:t>（二）成绩上报表需任课教师仔细核对后签字，经学院院长审阅签字后提交教学科研处审核发布。</w:t>
      </w:r>
    </w:p>
    <w:p>
      <w:pPr>
        <w:pStyle w:val="14"/>
        <w:spacing w:line="300" w:lineRule="exact"/>
        <w:ind w:firstLine="420"/>
        <w:jc w:val="both"/>
        <w:rPr>
          <w:color w:val="auto"/>
        </w:rPr>
      </w:pPr>
      <w:r>
        <w:rPr>
          <w:color w:val="auto"/>
        </w:rPr>
        <w:t>（三）任课教师发现有</w:t>
      </w:r>
      <w:r>
        <w:rPr>
          <w:rFonts w:hint="eastAsia"/>
          <w:color w:val="auto"/>
          <w:lang w:val="en-US" w:eastAsia="zh-CN"/>
        </w:rPr>
        <w:t>该学生</w:t>
      </w:r>
      <w:r>
        <w:rPr>
          <w:color w:val="auto"/>
        </w:rPr>
        <w:t>试卷而教务系统中没有该学生名单时，填写《本科生课程考试未能登录成绩的试卷情况登记表》（见附件</w:t>
      </w:r>
      <w:r>
        <w:rPr>
          <w:rFonts w:ascii="Times New Roman" w:hAnsi="Times New Roman" w:eastAsia="Times New Roman" w:cs="Times New Roman"/>
          <w:color w:val="auto"/>
          <w:sz w:val="20"/>
          <w:szCs w:val="20"/>
        </w:rPr>
        <w:t>1</w:t>
      </w:r>
      <w:r>
        <w:rPr>
          <w:rFonts w:hint="eastAsia"/>
          <w:color w:val="auto"/>
          <w:szCs w:val="20"/>
        </w:rPr>
        <w:t>）</w:t>
      </w:r>
      <w:r>
        <w:rPr>
          <w:rFonts w:hint="eastAsia"/>
          <w:color w:val="auto"/>
          <w:sz w:val="20"/>
          <w:szCs w:val="20"/>
        </w:rPr>
        <w:t>，</w:t>
      </w:r>
      <w:r>
        <w:rPr>
          <w:color w:val="auto"/>
        </w:rPr>
        <w:t>并将试卷复印后一并提交，经本学院院长审核、签字后，送至教学科研处成绩管理人员处备案，以备补登成绩时核查。</w:t>
      </w:r>
    </w:p>
    <w:p>
      <w:pPr>
        <w:pStyle w:val="14"/>
        <w:spacing w:line="300" w:lineRule="exact"/>
        <w:ind w:left="420" w:firstLine="0"/>
        <w:jc w:val="both"/>
        <w:rPr>
          <w:rFonts w:eastAsia="PMingLiU"/>
          <w:color w:val="auto"/>
        </w:rPr>
      </w:pPr>
      <w:r>
        <w:rPr>
          <w:color w:val="auto"/>
        </w:rPr>
        <w:t>（四）学生办理缓考手续的，任课教师提交成绩上报表时需将该生缓考申请单一并报送。</w:t>
      </w:r>
    </w:p>
    <w:p>
      <w:pPr>
        <w:pStyle w:val="14"/>
        <w:tabs>
          <w:tab w:val="left" w:pos="1066"/>
        </w:tabs>
        <w:spacing w:line="300" w:lineRule="exact"/>
        <w:ind w:left="420" w:firstLine="0"/>
        <w:jc w:val="both"/>
        <w:rPr>
          <w:color w:val="auto"/>
        </w:rPr>
      </w:pPr>
      <w:r>
        <w:rPr>
          <w:b/>
          <w:bCs/>
          <w:color w:val="auto"/>
        </w:rPr>
        <w:t>第三条</w:t>
      </w:r>
      <w:r>
        <w:rPr>
          <w:color w:val="auto"/>
        </w:rPr>
        <w:t>成绩的发布</w:t>
      </w:r>
    </w:p>
    <w:p>
      <w:pPr>
        <w:pStyle w:val="14"/>
        <w:spacing w:line="300" w:lineRule="exact"/>
        <w:ind w:firstLine="420"/>
        <w:jc w:val="both"/>
        <w:rPr>
          <w:color w:val="auto"/>
        </w:rPr>
      </w:pPr>
      <w:r>
        <w:rPr>
          <w:color w:val="auto"/>
        </w:rPr>
        <w:t>课程考核结束后，成绩由教学科研处统一发布。任课教师不得向学生直接公布成绩。学生应通过教务系统查询本人的课程考核成绩。</w:t>
      </w:r>
    </w:p>
    <w:p>
      <w:pPr>
        <w:pStyle w:val="14"/>
        <w:spacing w:line="300" w:lineRule="exact"/>
        <w:ind w:firstLine="420"/>
        <w:jc w:val="both"/>
        <w:rPr>
          <w:color w:val="auto"/>
        </w:rPr>
      </w:pPr>
      <w:r>
        <w:rPr>
          <w:b/>
          <w:bCs/>
          <w:color w:val="auto"/>
        </w:rPr>
        <w:t>第四条</w:t>
      </w:r>
      <w:r>
        <w:rPr>
          <w:color w:val="auto"/>
        </w:rPr>
        <w:t>成绩的复查</w:t>
      </w:r>
    </w:p>
    <w:p>
      <w:pPr>
        <w:pStyle w:val="14"/>
        <w:spacing w:line="300" w:lineRule="exact"/>
        <w:ind w:firstLine="420"/>
        <w:jc w:val="both"/>
        <w:rPr>
          <w:color w:val="auto"/>
        </w:rPr>
      </w:pPr>
      <w:r>
        <w:rPr>
          <w:color w:val="auto"/>
        </w:rPr>
        <w:t>（一）学生对考核成绩如有疑义，应在规定时间内向所在学院提出书面申请，由所在学院转开课学院查阅试卷。所有课程的试卷查阅应在成绩发布后至下学期开学后三周内受理，其它时间概不受理。</w:t>
      </w:r>
    </w:p>
    <w:p>
      <w:pPr>
        <w:pStyle w:val="14"/>
        <w:spacing w:line="300" w:lineRule="exact"/>
        <w:ind w:firstLine="420"/>
        <w:jc w:val="both"/>
        <w:rPr>
          <w:color w:val="auto"/>
        </w:rPr>
      </w:pPr>
      <w:r>
        <w:rPr>
          <w:color w:val="auto"/>
        </w:rPr>
        <w:t>（二）学生申请试卷复查程序如下：</w:t>
      </w:r>
    </w:p>
    <w:p>
      <w:pPr>
        <w:pStyle w:val="14"/>
        <w:tabs>
          <w:tab w:val="left" w:pos="771"/>
        </w:tabs>
        <w:spacing w:line="300" w:lineRule="exact"/>
        <w:ind w:left="420" w:firstLine="0"/>
        <w:jc w:val="both"/>
        <w:rPr>
          <w:color w:val="auto"/>
        </w:rPr>
      </w:pPr>
      <w:bookmarkStart w:id="245" w:name="bookmark376"/>
      <w:bookmarkEnd w:id="245"/>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学生于次学期开学后三周内向所在学院提出书面申请，并填写《本科生试卷成绩复查登记表》（见附件</w:t>
      </w:r>
      <w:r>
        <w:rPr>
          <w:rFonts w:ascii="Times New Roman" w:hAnsi="Times New Roman" w:eastAsia="Times New Roman" w:cs="Times New Roman"/>
          <w:color w:val="auto"/>
          <w:sz w:val="20"/>
          <w:szCs w:val="20"/>
        </w:rPr>
        <w:t>2</w:t>
      </w:r>
      <w:r>
        <w:rPr>
          <w:color w:val="auto"/>
          <w:szCs w:val="20"/>
        </w:rPr>
        <w:t>）</w:t>
      </w:r>
      <w:r>
        <w:rPr>
          <w:color w:val="auto"/>
        </w:rPr>
        <w:t>。</w:t>
      </w:r>
    </w:p>
    <w:p>
      <w:pPr>
        <w:pStyle w:val="14"/>
        <w:tabs>
          <w:tab w:val="left" w:pos="771"/>
        </w:tabs>
        <w:spacing w:line="300" w:lineRule="exact"/>
        <w:ind w:left="420" w:firstLine="0"/>
        <w:jc w:val="both"/>
        <w:rPr>
          <w:color w:val="auto"/>
        </w:rPr>
      </w:pPr>
      <w:bookmarkStart w:id="246" w:name="bookmark377"/>
      <w:bookmarkEnd w:id="246"/>
      <w:r>
        <w:rPr>
          <w:rFonts w:hint="eastAsia" w:ascii="Times New Roman" w:hAnsi="Times New Roman" w:eastAsiaTheme="minorEastAsia"/>
          <w:color w:val="auto"/>
          <w:sz w:val="20"/>
          <w:lang w:eastAsia="zh-CN"/>
        </w:rPr>
        <w:t>2</w:t>
      </w:r>
      <w:r>
        <w:rPr>
          <w:rFonts w:ascii="Times New Roman" w:hAnsi="Times New Roman" w:eastAsia="PMingLiU"/>
          <w:color w:val="auto"/>
          <w:sz w:val="20"/>
        </w:rPr>
        <w:t>.</w:t>
      </w:r>
      <w:r>
        <w:rPr>
          <w:color w:val="auto"/>
        </w:rPr>
        <w:t>经学院负责人同意，由学生所在学院教务秘书转开课学院，开课学院组织课程组长及任课教师进行试卷成绩复查。</w:t>
      </w:r>
    </w:p>
    <w:p>
      <w:pPr>
        <w:pStyle w:val="14"/>
        <w:tabs>
          <w:tab w:val="left" w:pos="752"/>
        </w:tabs>
        <w:spacing w:line="300" w:lineRule="exact"/>
        <w:ind w:left="420" w:firstLine="0"/>
        <w:jc w:val="both"/>
        <w:rPr>
          <w:color w:val="auto"/>
        </w:rPr>
      </w:pPr>
      <w:bookmarkStart w:id="247" w:name="bookmark378"/>
      <w:bookmarkEnd w:id="247"/>
      <w:r>
        <w:rPr>
          <w:rFonts w:hint="eastAsia" w:ascii="Times New Roman" w:hAnsi="Times New Roman" w:eastAsiaTheme="minorEastAsia"/>
          <w:color w:val="auto"/>
          <w:sz w:val="20"/>
          <w:lang w:eastAsia="zh-CN"/>
        </w:rPr>
        <w:t>3</w:t>
      </w:r>
      <w:r>
        <w:rPr>
          <w:rFonts w:ascii="Times New Roman" w:hAnsi="Times New Roman" w:eastAsia="PMingLiU"/>
          <w:color w:val="auto"/>
          <w:sz w:val="20"/>
        </w:rPr>
        <w:t>.</w:t>
      </w:r>
      <w:r>
        <w:rPr>
          <w:color w:val="auto"/>
        </w:rPr>
        <w:t>试卷复查结束后，开课学院应在《学生试卷成绩复查登记表》中明确填写复查结果，由任课教师、课程组长共同签字确认，开课学院负责人审核后转学生所在学院。</w:t>
      </w:r>
    </w:p>
    <w:p>
      <w:pPr>
        <w:pStyle w:val="14"/>
        <w:spacing w:line="300" w:lineRule="exact"/>
        <w:ind w:firstLine="420"/>
        <w:jc w:val="both"/>
        <w:rPr>
          <w:color w:val="auto"/>
        </w:rPr>
      </w:pPr>
      <w:r>
        <w:rPr>
          <w:color w:val="auto"/>
        </w:rPr>
        <w:t>（三）经复查，如确实存在阅卷失误、核分错误等失误，由课程所在学院责成任课教师对试卷成绩进行更正。</w:t>
      </w:r>
    </w:p>
    <w:p>
      <w:pPr>
        <w:pStyle w:val="14"/>
        <w:spacing w:line="300" w:lineRule="exact"/>
        <w:ind w:firstLine="420"/>
        <w:jc w:val="both"/>
        <w:rPr>
          <w:color w:val="auto"/>
        </w:rPr>
      </w:pPr>
      <w:r>
        <w:rPr>
          <w:b/>
          <w:bCs/>
          <w:color w:val="auto"/>
        </w:rPr>
        <w:t>第五条</w:t>
      </w:r>
      <w:r>
        <w:rPr>
          <w:color w:val="auto"/>
        </w:rPr>
        <w:t>成绩的补登与更正</w:t>
      </w:r>
    </w:p>
    <w:p>
      <w:pPr>
        <w:pStyle w:val="14"/>
        <w:spacing w:line="300" w:lineRule="exact"/>
        <w:ind w:firstLine="360" w:firstLineChars="200"/>
        <w:jc w:val="both"/>
        <w:rPr>
          <w:color w:val="auto"/>
        </w:rPr>
      </w:pPr>
      <w:r>
        <w:rPr>
          <w:color w:val="auto"/>
        </w:rPr>
        <w:t>（</w:t>
      </w:r>
      <w:r>
        <w:rPr>
          <w:rFonts w:hint="eastAsia"/>
          <w:color w:val="auto"/>
        </w:rPr>
        <w:t>一</w:t>
      </w:r>
      <w:r>
        <w:rPr>
          <w:color w:val="auto"/>
        </w:rPr>
        <w:t>）课程成绩一旦提交审核，不得随意更改。任课教师确需申请成绩补登与更正，均</w:t>
      </w:r>
      <w:r>
        <w:rPr>
          <w:rFonts w:hint="eastAsia"/>
          <w:color w:val="auto"/>
          <w:lang w:eastAsia="zh-CN"/>
        </w:rPr>
        <w:t>须提交</w:t>
      </w:r>
      <w:r>
        <w:rPr>
          <w:color w:val="auto"/>
        </w:rPr>
        <w:t>《南京航空航天大学金城学院本科生课程考试成绩补登、更改申请表》。</w:t>
      </w:r>
    </w:p>
    <w:p>
      <w:pPr>
        <w:pStyle w:val="14"/>
        <w:spacing w:line="299" w:lineRule="exact"/>
        <w:ind w:firstLine="420"/>
        <w:jc w:val="both"/>
        <w:rPr>
          <w:color w:val="auto"/>
        </w:rPr>
      </w:pPr>
      <w:r>
        <w:rPr>
          <w:color w:val="auto"/>
        </w:rPr>
        <w:t>（二）确需进行成绩补登的，应在教学科研处已有备案的《本科生课程考试成绩补登、更改申请表》（见附件</w:t>
      </w:r>
      <w:r>
        <w:rPr>
          <w:rFonts w:ascii="Times New Roman" w:hAnsi="Times New Roman" w:eastAsia="Times New Roman" w:cs="Times New Roman"/>
          <w:color w:val="auto"/>
          <w:sz w:val="20"/>
          <w:szCs w:val="20"/>
        </w:rPr>
        <w:t>3</w:t>
      </w:r>
      <w:r>
        <w:rPr>
          <w:color w:val="auto"/>
          <w:szCs w:val="20"/>
        </w:rPr>
        <w:t>）</w:t>
      </w:r>
      <w:r>
        <w:rPr>
          <w:rFonts w:hint="eastAsia"/>
          <w:color w:val="auto"/>
          <w:sz w:val="20"/>
          <w:szCs w:val="20"/>
        </w:rPr>
        <w:t>，</w:t>
      </w:r>
      <w:r>
        <w:rPr>
          <w:color w:val="auto"/>
        </w:rPr>
        <w:t>经教学科研处与学生所在学院核实无误后方可补登。凡未事先备案的，</w:t>
      </w:r>
      <w:r>
        <w:rPr>
          <w:color w:val="auto"/>
          <w:lang w:val="zh-CN" w:eastAsia="zh-CN" w:bidi="zh-CN"/>
        </w:rPr>
        <w:t>一律不</w:t>
      </w:r>
      <w:r>
        <w:rPr>
          <w:color w:val="auto"/>
        </w:rPr>
        <w:t>予补登成绩。</w:t>
      </w:r>
    </w:p>
    <w:p>
      <w:pPr>
        <w:pStyle w:val="14"/>
        <w:spacing w:line="299" w:lineRule="exact"/>
        <w:ind w:firstLine="420"/>
        <w:jc w:val="both"/>
        <w:rPr>
          <w:color w:val="auto"/>
        </w:rPr>
      </w:pPr>
      <w:r>
        <w:rPr>
          <w:color w:val="auto"/>
        </w:rPr>
        <w:t>（三）因教师成绩提交错位、计算错误或登录错误等确需更改的，将考卷、成绩构成表等证明材料一并提交，教学科研处相关负责人对更改后的成绩进行审签后，由教务科对网上成绩予以修正。</w:t>
      </w:r>
    </w:p>
    <w:p>
      <w:pPr>
        <w:pStyle w:val="14"/>
        <w:spacing w:line="299" w:lineRule="exact"/>
        <w:ind w:firstLine="420"/>
        <w:jc w:val="both"/>
        <w:rPr>
          <w:color w:val="auto"/>
        </w:rPr>
      </w:pPr>
      <w:r>
        <w:rPr>
          <w:color w:val="auto"/>
        </w:rPr>
        <w:t>（四）成绩补（改）登手续在成绩发布后至次学期开学后三周内办理，逾期不得以任何理由申请补（改）登。</w:t>
      </w:r>
    </w:p>
    <w:p>
      <w:pPr>
        <w:pStyle w:val="14"/>
        <w:spacing w:line="299" w:lineRule="exact"/>
        <w:ind w:firstLine="420"/>
        <w:jc w:val="both"/>
        <w:rPr>
          <w:color w:val="auto"/>
        </w:rPr>
      </w:pPr>
      <w:r>
        <w:rPr>
          <w:color w:val="auto"/>
        </w:rPr>
        <w:t>（五）学生参加《</w:t>
      </w:r>
      <w:r>
        <w:rPr>
          <w:color w:val="auto"/>
          <w:lang w:val="zh-CN" w:bidi="zh-CN"/>
        </w:rPr>
        <w:t>未选</w:t>
      </w:r>
      <w:r>
        <w:rPr>
          <w:color w:val="auto"/>
        </w:rPr>
        <w:t>课程》考试者，该课程试卷成绩不予补登</w:t>
      </w:r>
      <w:r>
        <w:rPr>
          <w:rFonts w:hint="eastAsia"/>
          <w:color w:val="auto"/>
        </w:rPr>
        <w:t>（课程名称与教务系统内名称保持一致）</w:t>
      </w:r>
      <w:r>
        <w:rPr>
          <w:color w:val="auto"/>
        </w:rPr>
        <w:t>。</w:t>
      </w:r>
    </w:p>
    <w:p>
      <w:pPr>
        <w:pStyle w:val="14"/>
        <w:spacing w:after="40" w:line="299" w:lineRule="exact"/>
        <w:ind w:firstLine="420"/>
        <w:jc w:val="both"/>
        <w:rPr>
          <w:color w:val="auto"/>
        </w:rPr>
      </w:pPr>
      <w:r>
        <w:rPr>
          <w:b/>
          <w:bCs/>
          <w:color w:val="auto"/>
        </w:rPr>
        <w:t>第六条</w:t>
      </w:r>
      <w:r>
        <w:rPr>
          <w:color w:val="auto"/>
        </w:rPr>
        <w:t>成绩存档</w:t>
      </w:r>
    </w:p>
    <w:p>
      <w:pPr>
        <w:pStyle w:val="14"/>
        <w:spacing w:line="240" w:lineRule="auto"/>
        <w:ind w:firstLine="420"/>
        <w:rPr>
          <w:color w:val="auto"/>
        </w:rPr>
      </w:pPr>
      <w:r>
        <w:rPr>
          <w:color w:val="auto"/>
        </w:rPr>
        <w:t>开课学院提交的纸质</w:t>
      </w:r>
      <w:r>
        <w:rPr>
          <w:color w:val="auto"/>
          <w:lang w:val="zh-CN" w:eastAsia="zh-CN" w:bidi="zh-CN"/>
        </w:rPr>
        <w:t>“成</w:t>
      </w:r>
      <w:r>
        <w:rPr>
          <w:color w:val="auto"/>
        </w:rPr>
        <w:t>绩上报表“由教学科研处统一存档。</w:t>
      </w:r>
    </w:p>
    <w:p>
      <w:pPr>
        <w:pStyle w:val="14"/>
        <w:spacing w:line="302" w:lineRule="exact"/>
        <w:ind w:firstLine="420"/>
        <w:rPr>
          <w:color w:val="auto"/>
        </w:rPr>
      </w:pPr>
      <w:r>
        <w:rPr>
          <w:b/>
          <w:bCs/>
          <w:color w:val="auto"/>
        </w:rPr>
        <w:t>第七条</w:t>
      </w:r>
      <w:r>
        <w:rPr>
          <w:color w:val="auto"/>
        </w:rPr>
        <w:t>学生成绩单出具</w:t>
      </w:r>
    </w:p>
    <w:p>
      <w:pPr>
        <w:pStyle w:val="14"/>
        <w:spacing w:line="302" w:lineRule="exact"/>
        <w:ind w:firstLine="420"/>
        <w:jc w:val="both"/>
        <w:rPr>
          <w:color w:val="auto"/>
        </w:rPr>
      </w:pPr>
      <w:r>
        <w:rPr>
          <w:color w:val="auto"/>
        </w:rPr>
        <w:t>（一）在校学生成绩单将按成绩的最高记录出具，不得更改、删减。</w:t>
      </w:r>
    </w:p>
    <w:p>
      <w:pPr>
        <w:pStyle w:val="14"/>
        <w:spacing w:line="302" w:lineRule="exact"/>
        <w:ind w:firstLine="420"/>
        <w:jc w:val="both"/>
        <w:rPr>
          <w:color w:val="auto"/>
        </w:rPr>
      </w:pPr>
      <w:r>
        <w:rPr>
          <w:color w:val="auto"/>
        </w:rPr>
        <w:t>（二）各学院出具的成绩单以学院教务秘书打印、盖章，并在教学科研处审核加盖</w:t>
      </w:r>
      <w:r>
        <w:rPr>
          <w:color w:val="auto"/>
          <w:lang w:val="zh-CN" w:eastAsia="zh-CN" w:bidi="zh-CN"/>
        </w:rPr>
        <w:t>“教</w:t>
      </w:r>
      <w:r>
        <w:rPr>
          <w:color w:val="auto"/>
        </w:rPr>
        <w:t>学科研处成绩监章</w:t>
      </w:r>
      <w:r>
        <w:rPr>
          <w:rFonts w:hint="eastAsia"/>
          <w:color w:val="auto"/>
        </w:rPr>
        <w:t>”</w:t>
      </w:r>
      <w:r>
        <w:rPr>
          <w:color w:val="auto"/>
        </w:rPr>
        <w:t>的为有效文件。</w:t>
      </w:r>
    </w:p>
    <w:p>
      <w:pPr>
        <w:pStyle w:val="14"/>
        <w:spacing w:line="307" w:lineRule="exact"/>
        <w:ind w:firstLine="420"/>
        <w:jc w:val="both"/>
        <w:rPr>
          <w:color w:val="auto"/>
        </w:rPr>
      </w:pPr>
      <w:r>
        <w:rPr>
          <w:color w:val="auto"/>
        </w:rPr>
        <w:t>（三）学生毕业后，各学院教务秘书按要求打印学生最终成绩单存档案馆归档。</w:t>
      </w:r>
    </w:p>
    <w:p>
      <w:pPr>
        <w:pStyle w:val="14"/>
        <w:spacing w:line="307" w:lineRule="exact"/>
        <w:ind w:firstLine="420"/>
        <w:jc w:val="both"/>
        <w:rPr>
          <w:color w:val="auto"/>
        </w:rPr>
      </w:pPr>
      <w:r>
        <w:rPr>
          <w:color w:val="auto"/>
        </w:rPr>
        <w:t>（四）已毕业学生以档案馆出具的加盖档案室公章的成绩存档文件为有效文件，各学院不得再另行出具学生成绩单。</w:t>
      </w:r>
    </w:p>
    <w:p>
      <w:pPr>
        <w:pStyle w:val="14"/>
        <w:spacing w:line="307" w:lineRule="exact"/>
        <w:ind w:firstLine="420"/>
        <w:jc w:val="both"/>
        <w:rPr>
          <w:color w:val="auto"/>
        </w:rPr>
      </w:pPr>
      <w:r>
        <w:rPr>
          <w:b/>
          <w:bCs/>
          <w:color w:val="auto"/>
        </w:rPr>
        <w:t>第八条</w:t>
      </w:r>
      <w:r>
        <w:rPr>
          <w:color w:val="auto"/>
        </w:rPr>
        <w:t>本办法由教学科研处负责解释。</w:t>
      </w:r>
    </w:p>
    <w:p>
      <w:pPr>
        <w:rPr>
          <w:rFonts w:ascii="宋体" w:hAnsi="宋体"/>
          <w:color w:val="auto"/>
          <w:sz w:val="18"/>
          <w:lang w:val="zh-TW" w:eastAsia="zh-TW" w:bidi="zh-TW"/>
        </w:rPr>
      </w:pPr>
      <w:r>
        <w:rPr>
          <w:color w:val="auto"/>
          <w:lang w:eastAsia="zh-CN"/>
        </w:rPr>
        <w:br w:type="page"/>
      </w:r>
    </w:p>
    <w:p>
      <w:pPr>
        <w:pStyle w:val="14"/>
        <w:spacing w:line="307" w:lineRule="exact"/>
        <w:ind w:firstLine="420"/>
        <w:jc w:val="both"/>
        <w:rPr>
          <w:rFonts w:eastAsia="PMingLiU"/>
          <w:color w:val="auto"/>
          <w:lang w:eastAsia="zh-CN"/>
        </w:rPr>
      </w:pPr>
      <w:r>
        <w:rPr>
          <w:rFonts w:hint="eastAsia" w:asciiTheme="minorEastAsia" w:hAnsiTheme="minorEastAsia" w:eastAsiaTheme="minorEastAsia"/>
          <w:color w:val="auto"/>
        </w:rPr>
        <w:t>附件</w:t>
      </w:r>
      <w:r>
        <w:rPr>
          <w:rFonts w:ascii="Times New Roman" w:hAnsi="Times New Roman" w:cs="Times New Roman" w:eastAsiaTheme="minorEastAsia"/>
          <w:color w:val="auto"/>
          <w:sz w:val="20"/>
          <w:szCs w:val="20"/>
          <w:lang w:eastAsia="zh-CN"/>
        </w:rPr>
        <w:t>1</w:t>
      </w:r>
      <w:r>
        <w:rPr>
          <w:rFonts w:hint="eastAsia" w:asciiTheme="minorEastAsia" w:hAnsiTheme="minorEastAsia" w:eastAsiaTheme="minorEastAsia"/>
          <w:color w:val="auto"/>
          <w:lang w:eastAsia="zh-CN"/>
        </w:rPr>
        <w:t>：</w:t>
      </w:r>
    </w:p>
    <w:p>
      <w:pPr>
        <w:pStyle w:val="14"/>
        <w:spacing w:after="180" w:line="240" w:lineRule="auto"/>
        <w:ind w:firstLine="0"/>
        <w:jc w:val="center"/>
        <w:rPr>
          <w:b/>
          <w:bCs/>
          <w:color w:val="auto"/>
        </w:rPr>
      </w:pPr>
      <w:r>
        <w:rPr>
          <w:b/>
          <w:bCs/>
          <w:color w:val="auto"/>
        </w:rPr>
        <w:t>南京航空航天大学金城学院</w:t>
      </w:r>
    </w:p>
    <w:p>
      <w:pPr>
        <w:pStyle w:val="14"/>
        <w:spacing w:after="180" w:line="240" w:lineRule="auto"/>
        <w:ind w:firstLine="0"/>
        <w:jc w:val="center"/>
        <w:rPr>
          <w:b/>
          <w:bCs/>
          <w:color w:val="auto"/>
        </w:rPr>
      </w:pPr>
      <w:r>
        <w:rPr>
          <w:b/>
          <w:bCs/>
          <w:color w:val="auto"/>
        </w:rPr>
        <w:t>本科生课程考试未能登录成绩的试卷情况</w:t>
      </w:r>
    </w:p>
    <w:p>
      <w:pPr>
        <w:pStyle w:val="14"/>
        <w:spacing w:after="100" w:line="240" w:lineRule="auto"/>
        <w:ind w:firstLine="0"/>
        <w:jc w:val="center"/>
        <w:rPr>
          <w:rFonts w:eastAsia="PMingLiU"/>
          <w:b/>
          <w:bCs/>
          <w:color w:val="auto"/>
        </w:rPr>
      </w:pPr>
      <w:r>
        <w:rPr>
          <w:rFonts w:ascii="Times New Roman" w:hAnsi="Times New Roman" w:eastAsia="Times New Roman" w:cs="Times New Roman"/>
          <w:b/>
          <w:bCs/>
          <w:color w:val="auto"/>
          <w:sz w:val="20"/>
          <w:szCs w:val="20"/>
        </w:rPr>
        <w:t>20-20</w:t>
      </w:r>
      <w:r>
        <w:rPr>
          <w:b/>
          <w:bCs/>
          <w:color w:val="auto"/>
        </w:rPr>
        <w:t>学年学期</w:t>
      </w:r>
      <w:r>
        <w:rPr>
          <w:rFonts w:hint="eastAsia" w:asciiTheme="minorEastAsia" w:hAnsiTheme="minorEastAsia" w:eastAsiaTheme="minorEastAsia"/>
          <w:b/>
          <w:bCs/>
          <w:color w:val="auto"/>
        </w:rPr>
        <w:t>登记表</w:t>
      </w:r>
    </w:p>
    <w:tbl>
      <w:tblPr>
        <w:tblStyle w:val="6"/>
        <w:tblW w:w="0" w:type="auto"/>
        <w:jc w:val="center"/>
        <w:tblLayout w:type="fixed"/>
        <w:tblCellMar>
          <w:top w:w="0" w:type="dxa"/>
          <w:left w:w="10" w:type="dxa"/>
          <w:bottom w:w="0" w:type="dxa"/>
          <w:right w:w="10" w:type="dxa"/>
        </w:tblCellMar>
      </w:tblPr>
      <w:tblGrid>
        <w:gridCol w:w="562"/>
        <w:gridCol w:w="528"/>
        <w:gridCol w:w="734"/>
        <w:gridCol w:w="535"/>
        <w:gridCol w:w="550"/>
        <w:gridCol w:w="720"/>
        <w:gridCol w:w="542"/>
        <w:gridCol w:w="542"/>
        <w:gridCol w:w="689"/>
        <w:gridCol w:w="689"/>
        <w:gridCol w:w="760"/>
        <w:gridCol w:w="761"/>
      </w:tblGrid>
      <w:tr>
        <w:tblPrEx>
          <w:tblCellMar>
            <w:top w:w="0" w:type="dxa"/>
            <w:left w:w="10" w:type="dxa"/>
            <w:bottom w:w="0" w:type="dxa"/>
            <w:right w:w="10" w:type="dxa"/>
          </w:tblCellMar>
        </w:tblPrEx>
        <w:trPr>
          <w:trHeight w:val="576" w:hRule="exact"/>
          <w:jc w:val="center"/>
        </w:trPr>
        <w:tc>
          <w:tcPr>
            <w:tcW w:w="1090" w:type="dxa"/>
            <w:gridSpan w:val="2"/>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课程名称</w:t>
            </w:r>
          </w:p>
        </w:tc>
        <w:tc>
          <w:tcPr>
            <w:tcW w:w="3623" w:type="dxa"/>
            <w:gridSpan w:val="6"/>
            <w:tcBorders>
              <w:top w:val="single" w:color="auto" w:sz="4" w:space="0"/>
              <w:left w:val="single" w:color="auto" w:sz="4" w:space="0"/>
            </w:tcBorders>
            <w:shd w:val="clear" w:color="auto" w:fill="FFFFFF"/>
          </w:tcPr>
          <w:p>
            <w:pPr>
              <w:rPr>
                <w:color w:val="auto"/>
                <w:sz w:val="10"/>
                <w:szCs w:val="10"/>
              </w:rPr>
            </w:pPr>
          </w:p>
        </w:tc>
        <w:tc>
          <w:tcPr>
            <w:tcW w:w="689" w:type="dxa"/>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学时</w:t>
            </w:r>
          </w:p>
        </w:tc>
        <w:tc>
          <w:tcPr>
            <w:tcW w:w="689" w:type="dxa"/>
            <w:tcBorders>
              <w:top w:val="single" w:color="auto" w:sz="4" w:space="0"/>
              <w:left w:val="single" w:color="auto" w:sz="4" w:space="0"/>
            </w:tcBorders>
            <w:shd w:val="clear" w:color="auto" w:fill="FFFFFF"/>
            <w:vAlign w:val="center"/>
          </w:tcPr>
          <w:p>
            <w:pPr>
              <w:pStyle w:val="20"/>
              <w:spacing w:line="240" w:lineRule="auto"/>
              <w:ind w:firstLine="160"/>
              <w:rPr>
                <w:color w:val="auto"/>
              </w:rPr>
            </w:pPr>
          </w:p>
        </w:tc>
        <w:tc>
          <w:tcPr>
            <w:tcW w:w="760"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160"/>
              <w:rPr>
                <w:color w:val="auto"/>
              </w:rPr>
            </w:pPr>
            <w:r>
              <w:rPr>
                <w:color w:val="auto"/>
              </w:rPr>
              <w:t>学分</w:t>
            </w:r>
          </w:p>
        </w:tc>
        <w:tc>
          <w:tcPr>
            <w:tcW w:w="761"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160"/>
              <w:rPr>
                <w:color w:val="auto"/>
              </w:rPr>
            </w:pPr>
          </w:p>
        </w:tc>
      </w:tr>
      <w:tr>
        <w:tblPrEx>
          <w:tblCellMar>
            <w:top w:w="0" w:type="dxa"/>
            <w:left w:w="10" w:type="dxa"/>
            <w:bottom w:w="0" w:type="dxa"/>
            <w:right w:w="10" w:type="dxa"/>
          </w:tblCellMar>
        </w:tblPrEx>
        <w:trPr>
          <w:trHeight w:val="566" w:hRule="exact"/>
          <w:jc w:val="center"/>
        </w:trPr>
        <w:tc>
          <w:tcPr>
            <w:tcW w:w="1090" w:type="dxa"/>
            <w:gridSpan w:val="2"/>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考试日期</w:t>
            </w:r>
          </w:p>
        </w:tc>
        <w:tc>
          <w:tcPr>
            <w:tcW w:w="1269" w:type="dxa"/>
            <w:gridSpan w:val="2"/>
            <w:tcBorders>
              <w:top w:val="single" w:color="auto" w:sz="4" w:space="0"/>
              <w:left w:val="single" w:color="auto" w:sz="4" w:space="0"/>
            </w:tcBorders>
            <w:shd w:val="clear" w:color="auto" w:fill="FFFFFF"/>
            <w:vAlign w:val="center"/>
          </w:tcPr>
          <w:p>
            <w:pPr>
              <w:pStyle w:val="20"/>
              <w:spacing w:line="240" w:lineRule="auto"/>
              <w:ind w:firstLine="0"/>
              <w:rPr>
                <w:rFonts w:eastAsia="PMingLiU"/>
                <w:color w:val="auto"/>
              </w:rPr>
            </w:pPr>
          </w:p>
        </w:tc>
        <w:tc>
          <w:tcPr>
            <w:tcW w:w="1270" w:type="dxa"/>
            <w:gridSpan w:val="2"/>
            <w:tcBorders>
              <w:top w:val="single" w:color="auto" w:sz="4" w:space="0"/>
              <w:left w:val="single" w:color="auto" w:sz="4" w:space="0"/>
            </w:tcBorders>
            <w:shd w:val="clear" w:color="auto" w:fill="FFFFFF"/>
            <w:vAlign w:val="center"/>
          </w:tcPr>
          <w:p>
            <w:pPr>
              <w:pStyle w:val="20"/>
              <w:spacing w:line="240" w:lineRule="auto"/>
              <w:ind w:firstLine="0"/>
              <w:jc w:val="center"/>
              <w:rPr>
                <w:rFonts w:eastAsia="PMingLiU"/>
                <w:color w:val="auto"/>
              </w:rPr>
            </w:pPr>
            <w:r>
              <w:rPr>
                <w:rFonts w:hint="eastAsia"/>
                <w:color w:val="auto"/>
              </w:rPr>
              <w:t>课程类别</w:t>
            </w:r>
          </w:p>
        </w:tc>
        <w:tc>
          <w:tcPr>
            <w:tcW w:w="3983" w:type="dxa"/>
            <w:gridSpan w:val="6"/>
            <w:tcBorders>
              <w:top w:val="single" w:color="auto" w:sz="4" w:space="0"/>
              <w:left w:val="single" w:color="auto" w:sz="4" w:space="0"/>
              <w:right w:val="single" w:color="auto" w:sz="4" w:space="0"/>
            </w:tcBorders>
            <w:shd w:val="clear" w:color="auto" w:fill="FFFFFF"/>
            <w:vAlign w:val="center"/>
          </w:tcPr>
          <w:p>
            <w:pPr>
              <w:pStyle w:val="20"/>
              <w:tabs>
                <w:tab w:val="left" w:pos="1320"/>
              </w:tabs>
              <w:spacing w:line="240" w:lineRule="auto"/>
              <w:ind w:right="720" w:firstLine="540" w:firstLineChars="300"/>
              <w:rPr>
                <w:rFonts w:eastAsiaTheme="minorEastAsia"/>
                <w:color w:val="auto"/>
                <w:lang w:eastAsia="zh-CN"/>
              </w:rPr>
            </w:pPr>
            <w:r>
              <w:rPr>
                <w:color w:val="auto"/>
              </w:rPr>
              <w:t>□必修课□选修课□实践课</w:t>
            </w:r>
          </w:p>
        </w:tc>
      </w:tr>
      <w:tr>
        <w:tblPrEx>
          <w:tblCellMar>
            <w:top w:w="0" w:type="dxa"/>
            <w:left w:w="10" w:type="dxa"/>
            <w:bottom w:w="0" w:type="dxa"/>
            <w:right w:w="10" w:type="dxa"/>
          </w:tblCellMar>
        </w:tblPrEx>
        <w:trPr>
          <w:trHeight w:val="566" w:hRule="exact"/>
          <w:jc w:val="center"/>
        </w:trPr>
        <w:tc>
          <w:tcPr>
            <w:tcW w:w="1090" w:type="dxa"/>
            <w:gridSpan w:val="2"/>
            <w:tcBorders>
              <w:top w:val="single" w:color="auto" w:sz="4" w:space="0"/>
              <w:left w:val="single" w:color="auto" w:sz="4" w:space="0"/>
            </w:tcBorders>
            <w:shd w:val="clear" w:color="auto" w:fill="FFFFFF"/>
            <w:vAlign w:val="center"/>
          </w:tcPr>
          <w:p>
            <w:pPr>
              <w:pStyle w:val="20"/>
              <w:spacing w:line="240" w:lineRule="auto"/>
              <w:ind w:firstLine="160"/>
              <w:rPr>
                <w:color w:val="auto"/>
              </w:rPr>
            </w:pPr>
            <w:r>
              <w:rPr>
                <w:color w:val="auto"/>
              </w:rPr>
              <w:t>考试类别</w:t>
            </w:r>
          </w:p>
        </w:tc>
        <w:tc>
          <w:tcPr>
            <w:tcW w:w="6522" w:type="dxa"/>
            <w:gridSpan w:val="10"/>
            <w:tcBorders>
              <w:top w:val="single" w:color="auto" w:sz="4" w:space="0"/>
              <w:left w:val="single" w:color="auto" w:sz="4" w:space="0"/>
              <w:right w:val="single" w:color="auto" w:sz="4" w:space="0"/>
            </w:tcBorders>
            <w:shd w:val="clear" w:color="auto" w:fill="FFFFFF"/>
            <w:vAlign w:val="center"/>
          </w:tcPr>
          <w:p>
            <w:pPr>
              <w:pStyle w:val="20"/>
              <w:tabs>
                <w:tab w:val="left" w:pos="1406"/>
                <w:tab w:val="left" w:pos="3038"/>
                <w:tab w:val="left" w:pos="4138"/>
                <w:tab w:val="left" w:pos="5218"/>
              </w:tabs>
              <w:spacing w:line="240" w:lineRule="auto"/>
              <w:ind w:firstLine="0"/>
              <w:jc w:val="center"/>
              <w:rPr>
                <w:color w:val="auto"/>
              </w:rPr>
            </w:pPr>
            <w:r>
              <w:rPr>
                <w:color w:val="auto"/>
              </w:rPr>
              <w:t>□停课考试</w:t>
            </w:r>
            <w:r>
              <w:rPr>
                <w:color w:val="auto"/>
              </w:rPr>
              <w:tab/>
            </w:r>
            <w:r>
              <w:rPr>
                <w:color w:val="auto"/>
              </w:rPr>
              <w:t>□不停课考试</w:t>
            </w:r>
            <w:r>
              <w:rPr>
                <w:color w:val="auto"/>
              </w:rPr>
              <w:tab/>
            </w:r>
            <w:r>
              <w:rPr>
                <w:color w:val="auto"/>
              </w:rPr>
              <w:t>□缓考</w:t>
            </w:r>
            <w:r>
              <w:rPr>
                <w:color w:val="auto"/>
              </w:rPr>
              <w:tab/>
            </w:r>
            <w:r>
              <w:rPr>
                <w:color w:val="auto"/>
              </w:rPr>
              <w:t>□补考</w:t>
            </w:r>
            <w:r>
              <w:rPr>
                <w:color w:val="auto"/>
              </w:rPr>
              <w:tab/>
            </w:r>
            <w:r>
              <w:rPr>
                <w:color w:val="auto"/>
              </w:rPr>
              <w:t>□重修</w:t>
            </w:r>
          </w:p>
        </w:tc>
      </w:tr>
      <w:tr>
        <w:tblPrEx>
          <w:tblCellMar>
            <w:top w:w="0" w:type="dxa"/>
            <w:left w:w="10" w:type="dxa"/>
            <w:bottom w:w="0" w:type="dxa"/>
            <w:right w:w="10" w:type="dxa"/>
          </w:tblCellMar>
        </w:tblPrEx>
        <w:trPr>
          <w:trHeight w:val="566" w:hRule="exact"/>
          <w:jc w:val="center"/>
        </w:trPr>
        <w:tc>
          <w:tcPr>
            <w:tcW w:w="1090" w:type="dxa"/>
            <w:gridSpan w:val="2"/>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填表人</w:t>
            </w:r>
          </w:p>
        </w:tc>
        <w:tc>
          <w:tcPr>
            <w:tcW w:w="2539" w:type="dxa"/>
            <w:gridSpan w:val="4"/>
            <w:tcBorders>
              <w:top w:val="single" w:color="auto" w:sz="4" w:space="0"/>
              <w:left w:val="single" w:color="auto" w:sz="4" w:space="0"/>
            </w:tcBorders>
            <w:shd w:val="clear" w:color="auto" w:fill="FFFFFF"/>
          </w:tcPr>
          <w:p>
            <w:pPr>
              <w:rPr>
                <w:color w:val="auto"/>
                <w:sz w:val="10"/>
                <w:szCs w:val="10"/>
              </w:rPr>
            </w:pPr>
          </w:p>
        </w:tc>
        <w:tc>
          <w:tcPr>
            <w:tcW w:w="1084" w:type="dxa"/>
            <w:gridSpan w:val="2"/>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证明人</w:t>
            </w:r>
          </w:p>
        </w:tc>
        <w:tc>
          <w:tcPr>
            <w:tcW w:w="2899" w:type="dxa"/>
            <w:gridSpan w:val="4"/>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66" w:hRule="exact"/>
          <w:jc w:val="center"/>
        </w:trPr>
        <w:tc>
          <w:tcPr>
            <w:tcW w:w="562" w:type="dxa"/>
            <w:vMerge w:val="restart"/>
            <w:tcBorders>
              <w:top w:val="single" w:color="auto" w:sz="4" w:space="0"/>
              <w:left w:val="single" w:color="auto" w:sz="4" w:space="0"/>
            </w:tcBorders>
            <w:shd w:val="clear" w:color="auto" w:fill="FFFFFF"/>
            <w:vAlign w:val="center"/>
          </w:tcPr>
          <w:p>
            <w:pPr>
              <w:pStyle w:val="20"/>
              <w:spacing w:line="240" w:lineRule="auto"/>
              <w:ind w:firstLine="0"/>
              <w:rPr>
                <w:color w:val="auto"/>
              </w:rPr>
            </w:pPr>
            <w:r>
              <w:rPr>
                <w:color w:val="auto"/>
              </w:rPr>
              <w:t>序号</w:t>
            </w:r>
          </w:p>
        </w:tc>
        <w:tc>
          <w:tcPr>
            <w:tcW w:w="1262" w:type="dxa"/>
            <w:gridSpan w:val="2"/>
            <w:vMerge w:val="restart"/>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学号</w:t>
            </w:r>
          </w:p>
        </w:tc>
        <w:tc>
          <w:tcPr>
            <w:tcW w:w="1085" w:type="dxa"/>
            <w:gridSpan w:val="2"/>
            <w:vMerge w:val="restart"/>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姓名</w:t>
            </w:r>
          </w:p>
        </w:tc>
        <w:tc>
          <w:tcPr>
            <w:tcW w:w="1262" w:type="dxa"/>
            <w:gridSpan w:val="2"/>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总评成绩</w:t>
            </w:r>
          </w:p>
        </w:tc>
        <w:tc>
          <w:tcPr>
            <w:tcW w:w="3441" w:type="dxa"/>
            <w:gridSpan w:val="5"/>
            <w:vMerge w:val="restart"/>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情况说明</w:t>
            </w:r>
          </w:p>
        </w:tc>
      </w:tr>
      <w:tr>
        <w:trPr>
          <w:trHeight w:val="850" w:hRule="exact"/>
          <w:jc w:val="center"/>
        </w:trPr>
        <w:tc>
          <w:tcPr>
            <w:tcW w:w="562" w:type="dxa"/>
            <w:vMerge w:val="continue"/>
            <w:tcBorders>
              <w:left w:val="single" w:color="auto" w:sz="4" w:space="0"/>
            </w:tcBorders>
            <w:shd w:val="clear" w:color="auto" w:fill="FFFFFF"/>
            <w:vAlign w:val="center"/>
          </w:tcPr>
          <w:p>
            <w:pPr>
              <w:rPr>
                <w:color w:val="auto"/>
              </w:rPr>
            </w:pPr>
          </w:p>
        </w:tc>
        <w:tc>
          <w:tcPr>
            <w:tcW w:w="1262" w:type="dxa"/>
            <w:gridSpan w:val="2"/>
            <w:vMerge w:val="continue"/>
            <w:tcBorders>
              <w:left w:val="single" w:color="auto" w:sz="4" w:space="0"/>
            </w:tcBorders>
            <w:shd w:val="clear" w:color="auto" w:fill="FFFFFF"/>
            <w:vAlign w:val="center"/>
          </w:tcPr>
          <w:p>
            <w:pPr>
              <w:rPr>
                <w:color w:val="auto"/>
              </w:rPr>
            </w:pPr>
          </w:p>
        </w:tc>
        <w:tc>
          <w:tcPr>
            <w:tcW w:w="1085" w:type="dxa"/>
            <w:gridSpan w:val="2"/>
            <w:vMerge w:val="continue"/>
            <w:tcBorders>
              <w:left w:val="single" w:color="auto" w:sz="4" w:space="0"/>
            </w:tcBorders>
            <w:shd w:val="clear" w:color="auto" w:fill="FFFFFF"/>
            <w:vAlign w:val="center"/>
          </w:tcPr>
          <w:p>
            <w:pPr>
              <w:rPr>
                <w:color w:val="auto"/>
              </w:rPr>
            </w:pPr>
          </w:p>
        </w:tc>
        <w:tc>
          <w:tcPr>
            <w:tcW w:w="72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卷面</w:t>
            </w:r>
          </w:p>
        </w:tc>
        <w:tc>
          <w:tcPr>
            <w:tcW w:w="542" w:type="dxa"/>
            <w:tcBorders>
              <w:top w:val="single" w:color="auto" w:sz="4" w:space="0"/>
              <w:left w:val="single" w:color="auto" w:sz="4" w:space="0"/>
            </w:tcBorders>
            <w:shd w:val="clear" w:color="auto" w:fill="FFFFFF"/>
            <w:vAlign w:val="center"/>
          </w:tcPr>
          <w:p>
            <w:pPr>
              <w:pStyle w:val="20"/>
              <w:spacing w:line="278" w:lineRule="exact"/>
              <w:ind w:firstLine="0"/>
              <w:rPr>
                <w:color w:val="auto"/>
              </w:rPr>
            </w:pPr>
            <w:r>
              <w:rPr>
                <w:color w:val="auto"/>
              </w:rPr>
              <w:t>平时成绩</w:t>
            </w:r>
          </w:p>
        </w:tc>
        <w:tc>
          <w:tcPr>
            <w:tcW w:w="3441" w:type="dxa"/>
            <w:gridSpan w:val="5"/>
            <w:vMerge w:val="continue"/>
            <w:tcBorders>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71" w:hRule="exact"/>
          <w:jc w:val="center"/>
        </w:trPr>
        <w:tc>
          <w:tcPr>
            <w:tcW w:w="562" w:type="dxa"/>
            <w:tcBorders>
              <w:top w:val="single" w:color="auto" w:sz="4" w:space="0"/>
              <w:left w:val="single" w:color="auto" w:sz="4" w:space="0"/>
            </w:tcBorders>
            <w:shd w:val="clear" w:color="auto" w:fill="FFFFFF"/>
            <w:vAlign w:val="center"/>
          </w:tcPr>
          <w:p>
            <w:pPr>
              <w:pStyle w:val="20"/>
              <w:spacing w:line="240" w:lineRule="auto"/>
              <w:ind w:firstLine="220"/>
              <w:rPr>
                <w:color w:val="auto"/>
                <w:sz w:val="17"/>
                <w:szCs w:val="17"/>
              </w:rPr>
            </w:pPr>
            <w:r>
              <w:rPr>
                <w:rFonts w:ascii="Times New Roman" w:hAnsi="Times New Roman"/>
                <w:color w:val="auto"/>
                <w:sz w:val="20"/>
                <w:szCs w:val="17"/>
              </w:rPr>
              <w:t>1</w:t>
            </w: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1085" w:type="dxa"/>
            <w:gridSpan w:val="2"/>
            <w:tcBorders>
              <w:top w:val="single" w:color="auto" w:sz="4" w:space="0"/>
              <w:left w:val="single" w:color="auto" w:sz="4" w:space="0"/>
            </w:tcBorders>
            <w:shd w:val="clear" w:color="auto" w:fill="FFFFFF"/>
          </w:tcPr>
          <w:p>
            <w:pPr>
              <w:rPr>
                <w:color w:val="auto"/>
                <w:sz w:val="10"/>
                <w:szCs w:val="10"/>
              </w:rPr>
            </w:pP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3441"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66" w:hRule="exact"/>
          <w:jc w:val="center"/>
        </w:trPr>
        <w:tc>
          <w:tcPr>
            <w:tcW w:w="562" w:type="dxa"/>
            <w:tcBorders>
              <w:top w:val="single" w:color="auto" w:sz="4" w:space="0"/>
              <w:left w:val="single" w:color="auto" w:sz="4" w:space="0"/>
            </w:tcBorders>
            <w:shd w:val="clear" w:color="auto" w:fill="FFFFFF"/>
            <w:vAlign w:val="center"/>
          </w:tcPr>
          <w:p>
            <w:pPr>
              <w:pStyle w:val="20"/>
              <w:spacing w:line="240" w:lineRule="auto"/>
              <w:ind w:firstLine="220"/>
              <w:rPr>
                <w:color w:val="auto"/>
                <w:sz w:val="17"/>
                <w:szCs w:val="17"/>
              </w:rPr>
            </w:pPr>
            <w:r>
              <w:rPr>
                <w:rFonts w:ascii="Times New Roman" w:hAnsi="Times New Roman"/>
                <w:color w:val="auto"/>
                <w:sz w:val="20"/>
                <w:szCs w:val="17"/>
              </w:rPr>
              <w:t>2</w:t>
            </w: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1085" w:type="dxa"/>
            <w:gridSpan w:val="2"/>
            <w:tcBorders>
              <w:top w:val="single" w:color="auto" w:sz="4" w:space="0"/>
              <w:left w:val="single" w:color="auto" w:sz="4" w:space="0"/>
            </w:tcBorders>
            <w:shd w:val="clear" w:color="auto" w:fill="FFFFFF"/>
          </w:tcPr>
          <w:p>
            <w:pPr>
              <w:rPr>
                <w:color w:val="auto"/>
                <w:sz w:val="10"/>
                <w:szCs w:val="10"/>
              </w:rPr>
            </w:pP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3441"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rPr>
          <w:trHeight w:val="566" w:hRule="exact"/>
          <w:jc w:val="center"/>
        </w:trPr>
        <w:tc>
          <w:tcPr>
            <w:tcW w:w="562" w:type="dxa"/>
            <w:tcBorders>
              <w:top w:val="single" w:color="auto" w:sz="4" w:space="0"/>
              <w:left w:val="single" w:color="auto" w:sz="4" w:space="0"/>
            </w:tcBorders>
            <w:shd w:val="clear" w:color="auto" w:fill="FFFFFF"/>
            <w:vAlign w:val="center"/>
          </w:tcPr>
          <w:p>
            <w:pPr>
              <w:pStyle w:val="20"/>
              <w:spacing w:line="240" w:lineRule="auto"/>
              <w:ind w:firstLine="220"/>
              <w:rPr>
                <w:color w:val="auto"/>
                <w:sz w:val="17"/>
                <w:szCs w:val="17"/>
              </w:rPr>
            </w:pPr>
            <w:r>
              <w:rPr>
                <w:rFonts w:ascii="Times New Roman" w:hAnsi="Times New Roman"/>
                <w:color w:val="auto"/>
                <w:sz w:val="20"/>
                <w:szCs w:val="17"/>
              </w:rPr>
              <w:t>3</w:t>
            </w: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1085" w:type="dxa"/>
            <w:gridSpan w:val="2"/>
            <w:tcBorders>
              <w:top w:val="single" w:color="auto" w:sz="4" w:space="0"/>
              <w:left w:val="single" w:color="auto" w:sz="4" w:space="0"/>
            </w:tcBorders>
            <w:shd w:val="clear" w:color="auto" w:fill="FFFFFF"/>
          </w:tcPr>
          <w:p>
            <w:pPr>
              <w:rPr>
                <w:color w:val="auto"/>
                <w:sz w:val="10"/>
                <w:szCs w:val="10"/>
              </w:rPr>
            </w:pP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3441"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66" w:hRule="exact"/>
          <w:jc w:val="center"/>
        </w:trPr>
        <w:tc>
          <w:tcPr>
            <w:tcW w:w="562" w:type="dxa"/>
            <w:tcBorders>
              <w:top w:val="single" w:color="auto" w:sz="4" w:space="0"/>
              <w:left w:val="single" w:color="auto" w:sz="4" w:space="0"/>
            </w:tcBorders>
            <w:shd w:val="clear" w:color="auto" w:fill="FFFFFF"/>
            <w:vAlign w:val="center"/>
          </w:tcPr>
          <w:p>
            <w:pPr>
              <w:pStyle w:val="20"/>
              <w:spacing w:line="240" w:lineRule="auto"/>
              <w:ind w:firstLine="220"/>
              <w:rPr>
                <w:color w:val="auto"/>
                <w:sz w:val="17"/>
                <w:szCs w:val="17"/>
              </w:rPr>
            </w:pPr>
            <w:r>
              <w:rPr>
                <w:rFonts w:ascii="Times New Roman" w:hAnsi="Times New Roman"/>
                <w:color w:val="auto"/>
                <w:sz w:val="20"/>
                <w:szCs w:val="17"/>
              </w:rPr>
              <w:t>4</w:t>
            </w: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1085" w:type="dxa"/>
            <w:gridSpan w:val="2"/>
            <w:tcBorders>
              <w:top w:val="single" w:color="auto" w:sz="4" w:space="0"/>
              <w:left w:val="single" w:color="auto" w:sz="4" w:space="0"/>
            </w:tcBorders>
            <w:shd w:val="clear" w:color="auto" w:fill="FFFFFF"/>
          </w:tcPr>
          <w:p>
            <w:pPr>
              <w:rPr>
                <w:color w:val="auto"/>
                <w:sz w:val="10"/>
                <w:szCs w:val="10"/>
              </w:rPr>
            </w:pP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3441"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66" w:hRule="exact"/>
          <w:jc w:val="center"/>
        </w:trPr>
        <w:tc>
          <w:tcPr>
            <w:tcW w:w="562" w:type="dxa"/>
            <w:tcBorders>
              <w:top w:val="single" w:color="auto" w:sz="4" w:space="0"/>
              <w:left w:val="single" w:color="auto" w:sz="4" w:space="0"/>
            </w:tcBorders>
            <w:shd w:val="clear" w:color="auto" w:fill="FFFFFF"/>
            <w:vAlign w:val="center"/>
          </w:tcPr>
          <w:p>
            <w:pPr>
              <w:pStyle w:val="20"/>
              <w:spacing w:line="240" w:lineRule="auto"/>
              <w:ind w:firstLine="220"/>
              <w:rPr>
                <w:color w:val="auto"/>
                <w:sz w:val="17"/>
                <w:szCs w:val="17"/>
              </w:rPr>
            </w:pPr>
            <w:r>
              <w:rPr>
                <w:rFonts w:ascii="Times New Roman" w:hAnsi="Times New Roman"/>
                <w:color w:val="auto"/>
                <w:sz w:val="20"/>
                <w:szCs w:val="17"/>
              </w:rPr>
              <w:t>5</w:t>
            </w: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1085" w:type="dxa"/>
            <w:gridSpan w:val="2"/>
            <w:tcBorders>
              <w:top w:val="single" w:color="auto" w:sz="4" w:space="0"/>
              <w:left w:val="single" w:color="auto" w:sz="4" w:space="0"/>
            </w:tcBorders>
            <w:shd w:val="clear" w:color="auto" w:fill="FFFFFF"/>
          </w:tcPr>
          <w:p>
            <w:pPr>
              <w:rPr>
                <w:color w:val="auto"/>
                <w:sz w:val="10"/>
                <w:szCs w:val="10"/>
              </w:rPr>
            </w:pP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3441"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66" w:hRule="exact"/>
          <w:jc w:val="center"/>
        </w:trPr>
        <w:tc>
          <w:tcPr>
            <w:tcW w:w="562" w:type="dxa"/>
            <w:tcBorders>
              <w:top w:val="single" w:color="auto" w:sz="4" w:space="0"/>
              <w:left w:val="single" w:color="auto" w:sz="4" w:space="0"/>
            </w:tcBorders>
            <w:shd w:val="clear" w:color="auto" w:fill="FFFFFF"/>
            <w:vAlign w:val="center"/>
          </w:tcPr>
          <w:p>
            <w:pPr>
              <w:pStyle w:val="20"/>
              <w:spacing w:line="240" w:lineRule="auto"/>
              <w:ind w:firstLine="220"/>
              <w:rPr>
                <w:color w:val="auto"/>
                <w:sz w:val="17"/>
                <w:szCs w:val="17"/>
              </w:rPr>
            </w:pPr>
            <w:r>
              <w:rPr>
                <w:rFonts w:ascii="Times New Roman" w:hAnsi="Times New Roman"/>
                <w:color w:val="auto"/>
                <w:sz w:val="20"/>
                <w:szCs w:val="17"/>
              </w:rPr>
              <w:t>6</w:t>
            </w: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1085" w:type="dxa"/>
            <w:gridSpan w:val="2"/>
            <w:tcBorders>
              <w:top w:val="single" w:color="auto" w:sz="4" w:space="0"/>
              <w:left w:val="single" w:color="auto" w:sz="4" w:space="0"/>
            </w:tcBorders>
            <w:shd w:val="clear" w:color="auto" w:fill="FFFFFF"/>
          </w:tcPr>
          <w:p>
            <w:pPr>
              <w:rPr>
                <w:color w:val="auto"/>
                <w:sz w:val="10"/>
                <w:szCs w:val="10"/>
              </w:rPr>
            </w:pP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3441"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66" w:hRule="exact"/>
          <w:jc w:val="center"/>
        </w:trPr>
        <w:tc>
          <w:tcPr>
            <w:tcW w:w="562" w:type="dxa"/>
            <w:tcBorders>
              <w:top w:val="single" w:color="auto" w:sz="4" w:space="0"/>
              <w:left w:val="single" w:color="auto" w:sz="4" w:space="0"/>
            </w:tcBorders>
            <w:shd w:val="clear" w:color="auto" w:fill="FFFFFF"/>
            <w:vAlign w:val="center"/>
          </w:tcPr>
          <w:p>
            <w:pPr>
              <w:pStyle w:val="20"/>
              <w:spacing w:line="240" w:lineRule="auto"/>
              <w:ind w:firstLine="220"/>
              <w:rPr>
                <w:color w:val="auto"/>
                <w:sz w:val="17"/>
                <w:szCs w:val="17"/>
              </w:rPr>
            </w:pPr>
            <w:r>
              <w:rPr>
                <w:rFonts w:ascii="Times New Roman" w:hAnsi="Times New Roman"/>
                <w:color w:val="auto"/>
                <w:sz w:val="20"/>
                <w:szCs w:val="17"/>
              </w:rPr>
              <w:t>7</w:t>
            </w: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1085" w:type="dxa"/>
            <w:gridSpan w:val="2"/>
            <w:tcBorders>
              <w:top w:val="single" w:color="auto" w:sz="4" w:space="0"/>
              <w:left w:val="single" w:color="auto" w:sz="4" w:space="0"/>
            </w:tcBorders>
            <w:shd w:val="clear" w:color="auto" w:fill="FFFFFF"/>
          </w:tcPr>
          <w:p>
            <w:pPr>
              <w:rPr>
                <w:color w:val="auto"/>
                <w:sz w:val="10"/>
                <w:szCs w:val="10"/>
              </w:rPr>
            </w:pPr>
          </w:p>
        </w:tc>
        <w:tc>
          <w:tcPr>
            <w:tcW w:w="1262" w:type="dxa"/>
            <w:gridSpan w:val="2"/>
            <w:tcBorders>
              <w:top w:val="single" w:color="auto" w:sz="4" w:space="0"/>
              <w:left w:val="single" w:color="auto" w:sz="4" w:space="0"/>
            </w:tcBorders>
            <w:shd w:val="clear" w:color="auto" w:fill="FFFFFF"/>
          </w:tcPr>
          <w:p>
            <w:pPr>
              <w:rPr>
                <w:color w:val="auto"/>
                <w:sz w:val="10"/>
                <w:szCs w:val="10"/>
              </w:rPr>
            </w:pPr>
          </w:p>
        </w:tc>
        <w:tc>
          <w:tcPr>
            <w:tcW w:w="3441"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76" w:hRule="exact"/>
          <w:jc w:val="center"/>
        </w:trPr>
        <w:tc>
          <w:tcPr>
            <w:tcW w:w="562"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220"/>
              <w:rPr>
                <w:color w:val="auto"/>
                <w:sz w:val="17"/>
                <w:szCs w:val="17"/>
              </w:rPr>
            </w:pPr>
            <w:r>
              <w:rPr>
                <w:rFonts w:ascii="Times New Roman" w:hAnsi="Times New Roman"/>
                <w:color w:val="auto"/>
                <w:sz w:val="20"/>
                <w:szCs w:val="17"/>
              </w:rPr>
              <w:t>8</w:t>
            </w:r>
          </w:p>
        </w:tc>
        <w:tc>
          <w:tcPr>
            <w:tcW w:w="1262" w:type="dxa"/>
            <w:gridSpan w:val="2"/>
            <w:tcBorders>
              <w:top w:val="single" w:color="auto" w:sz="4" w:space="0"/>
              <w:left w:val="single" w:color="auto" w:sz="4" w:space="0"/>
              <w:bottom w:val="single" w:color="auto" w:sz="4" w:space="0"/>
            </w:tcBorders>
            <w:shd w:val="clear" w:color="auto" w:fill="FFFFFF"/>
          </w:tcPr>
          <w:p>
            <w:pPr>
              <w:rPr>
                <w:color w:val="auto"/>
                <w:sz w:val="10"/>
                <w:szCs w:val="10"/>
              </w:rPr>
            </w:pPr>
          </w:p>
        </w:tc>
        <w:tc>
          <w:tcPr>
            <w:tcW w:w="1085" w:type="dxa"/>
            <w:gridSpan w:val="2"/>
            <w:tcBorders>
              <w:top w:val="single" w:color="auto" w:sz="4" w:space="0"/>
              <w:left w:val="single" w:color="auto" w:sz="4" w:space="0"/>
              <w:bottom w:val="single" w:color="auto" w:sz="4" w:space="0"/>
            </w:tcBorders>
            <w:shd w:val="clear" w:color="auto" w:fill="FFFFFF"/>
          </w:tcPr>
          <w:p>
            <w:pPr>
              <w:rPr>
                <w:color w:val="auto"/>
                <w:sz w:val="10"/>
                <w:szCs w:val="10"/>
              </w:rPr>
            </w:pPr>
          </w:p>
        </w:tc>
        <w:tc>
          <w:tcPr>
            <w:tcW w:w="1262" w:type="dxa"/>
            <w:gridSpan w:val="2"/>
            <w:tcBorders>
              <w:top w:val="single" w:color="auto" w:sz="4" w:space="0"/>
              <w:left w:val="single" w:color="auto" w:sz="4" w:space="0"/>
              <w:bottom w:val="single" w:color="auto" w:sz="4" w:space="0"/>
            </w:tcBorders>
            <w:shd w:val="clear" w:color="auto" w:fill="FFFFFF"/>
          </w:tcPr>
          <w:p>
            <w:pPr>
              <w:rPr>
                <w:color w:val="auto"/>
                <w:sz w:val="10"/>
                <w:szCs w:val="10"/>
              </w:rPr>
            </w:pPr>
          </w:p>
        </w:tc>
        <w:tc>
          <w:tcPr>
            <w:tcW w:w="3441" w:type="dxa"/>
            <w:gridSpan w:val="5"/>
            <w:tcBorders>
              <w:top w:val="single" w:color="auto" w:sz="4" w:space="0"/>
              <w:left w:val="single" w:color="auto" w:sz="4" w:space="0"/>
              <w:bottom w:val="single" w:color="auto" w:sz="4" w:space="0"/>
              <w:right w:val="single" w:color="auto" w:sz="4" w:space="0"/>
            </w:tcBorders>
            <w:shd w:val="clear" w:color="auto" w:fill="FFFFFF"/>
          </w:tcPr>
          <w:p>
            <w:pPr>
              <w:rPr>
                <w:color w:val="auto"/>
                <w:sz w:val="10"/>
                <w:szCs w:val="10"/>
              </w:rPr>
            </w:pPr>
          </w:p>
        </w:tc>
      </w:tr>
    </w:tbl>
    <w:p>
      <w:pPr>
        <w:pStyle w:val="26"/>
        <w:ind w:left="2160" w:firstLine="510" w:firstLineChars="300"/>
        <w:jc w:val="left"/>
        <w:rPr>
          <w:color w:val="auto"/>
          <w:sz w:val="17"/>
          <w:szCs w:val="17"/>
        </w:rPr>
      </w:pPr>
      <w:r>
        <w:rPr>
          <w:color w:val="auto"/>
          <w:sz w:val="17"/>
          <w:szCs w:val="17"/>
        </w:rPr>
        <w:t>本科生课程考试未能登录成绩的试卷情况</w:t>
      </w:r>
    </w:p>
    <w:p>
      <w:pPr>
        <w:spacing w:after="379" w:line="1" w:lineRule="exact"/>
        <w:rPr>
          <w:color w:val="auto"/>
          <w:lang w:eastAsia="zh-CN"/>
        </w:rPr>
      </w:pPr>
    </w:p>
    <w:p>
      <w:pPr>
        <w:pStyle w:val="14"/>
        <w:spacing w:after="100" w:line="240" w:lineRule="auto"/>
        <w:rPr>
          <w:rFonts w:eastAsia="PMingLiU"/>
          <w:color w:val="auto"/>
          <w:sz w:val="17"/>
          <w:szCs w:val="17"/>
        </w:rPr>
      </w:pPr>
      <w:r>
        <w:rPr>
          <w:color w:val="auto"/>
          <w:sz w:val="17"/>
          <w:szCs w:val="17"/>
        </w:rPr>
        <w:t>注：①此表由阅卷教师填写。若该课程为多名教师流水阅卷，则由课程组长或学院负责人填写；</w:t>
      </w:r>
    </w:p>
    <w:p>
      <w:pPr>
        <w:pStyle w:val="14"/>
        <w:spacing w:after="100" w:line="240" w:lineRule="auto"/>
        <w:ind w:firstLine="739" w:firstLineChars="435"/>
        <w:rPr>
          <w:color w:val="auto"/>
          <w:sz w:val="17"/>
          <w:szCs w:val="17"/>
        </w:rPr>
      </w:pPr>
      <w:r>
        <w:rPr>
          <w:rFonts w:eastAsia="PMingLiU"/>
          <w:color w:val="auto"/>
          <w:sz w:val="17"/>
          <w:szCs w:val="17"/>
        </w:rPr>
        <w:fldChar w:fldCharType="begin"/>
      </w:r>
      <w:r>
        <w:rPr>
          <w:color w:val="auto"/>
          <w:sz w:val="17"/>
          <w:szCs w:val="17"/>
          <w:lang w:eastAsia="zh-CN"/>
        </w:rPr>
        <w:instrText xml:space="preserve"> </w:instrText>
      </w:r>
      <w:r>
        <w:rPr>
          <w:rFonts w:hint="eastAsia"/>
          <w:color w:val="auto"/>
          <w:sz w:val="17"/>
          <w:szCs w:val="17"/>
          <w:lang w:eastAsia="zh-CN"/>
        </w:rPr>
        <w:instrText xml:space="preserve">= 2 \* GB3</w:instrText>
      </w:r>
      <w:r>
        <w:rPr>
          <w:color w:val="auto"/>
          <w:sz w:val="17"/>
          <w:szCs w:val="17"/>
          <w:lang w:eastAsia="zh-CN"/>
        </w:rPr>
        <w:instrText xml:space="preserve"> </w:instrText>
      </w:r>
      <w:r>
        <w:rPr>
          <w:rFonts w:eastAsia="PMingLiU"/>
          <w:color w:val="auto"/>
          <w:sz w:val="17"/>
          <w:szCs w:val="17"/>
        </w:rPr>
        <w:fldChar w:fldCharType="separate"/>
      </w:r>
      <w:r>
        <w:rPr>
          <w:rFonts w:hint="eastAsia"/>
          <w:color w:val="auto"/>
          <w:sz w:val="17"/>
          <w:szCs w:val="17"/>
          <w:lang w:eastAsia="zh-CN"/>
        </w:rPr>
        <w:t>②</w:t>
      </w:r>
      <w:r>
        <w:rPr>
          <w:rFonts w:eastAsia="PMingLiU"/>
          <w:color w:val="auto"/>
          <w:sz w:val="17"/>
          <w:szCs w:val="17"/>
        </w:rPr>
        <w:fldChar w:fldCharType="end"/>
      </w:r>
      <w:r>
        <w:rPr>
          <w:color w:val="auto"/>
          <w:sz w:val="17"/>
          <w:szCs w:val="17"/>
        </w:rPr>
        <w:t>此表填写一式两份后，一份交教学科研处成绩管理员，另一份由教师所在学院保存备查</w:t>
      </w:r>
      <w:r>
        <w:rPr>
          <w:rFonts w:hint="eastAsia"/>
          <w:color w:val="auto"/>
          <w:sz w:val="17"/>
          <w:szCs w:val="17"/>
        </w:rPr>
        <w:t>；</w:t>
      </w:r>
    </w:p>
    <w:p>
      <w:pPr>
        <w:pStyle w:val="14"/>
        <w:spacing w:line="240" w:lineRule="auto"/>
        <w:ind w:firstLine="739" w:firstLineChars="435"/>
        <w:rPr>
          <w:color w:val="auto"/>
          <w:sz w:val="17"/>
          <w:szCs w:val="17"/>
        </w:rPr>
      </w:pPr>
      <w:r>
        <w:rPr>
          <w:color w:val="auto"/>
          <w:sz w:val="17"/>
          <w:szCs w:val="17"/>
        </w:rPr>
        <w:t>③此表由教学科研处成绩管理员，与该课程考试或补考、重修原始成绩单统一装订、存档，并作</w:t>
      </w:r>
    </w:p>
    <w:p>
      <w:pPr>
        <w:pStyle w:val="14"/>
        <w:spacing w:after="100" w:line="240" w:lineRule="auto"/>
        <w:ind w:firstLine="850" w:firstLineChars="500"/>
        <w:rPr>
          <w:color w:val="auto"/>
          <w:sz w:val="17"/>
          <w:szCs w:val="17"/>
        </w:rPr>
      </w:pPr>
      <w:r>
        <w:rPr>
          <w:color w:val="auto"/>
          <w:sz w:val="17"/>
          <w:szCs w:val="17"/>
        </w:rPr>
        <w:t>为补登成绩的依据；</w:t>
      </w:r>
    </w:p>
    <w:p>
      <w:pPr>
        <w:pStyle w:val="14"/>
        <w:spacing w:after="100" w:line="240" w:lineRule="auto"/>
        <w:ind w:firstLine="739" w:firstLineChars="435"/>
        <w:rPr>
          <w:color w:val="auto"/>
          <w:sz w:val="17"/>
          <w:szCs w:val="17"/>
        </w:rPr>
      </w:pPr>
      <w:r>
        <w:rPr>
          <w:color w:val="auto"/>
          <w:sz w:val="17"/>
          <w:szCs w:val="17"/>
        </w:rPr>
        <w:t>④此表请从教务网站下载。</w:t>
      </w:r>
    </w:p>
    <w:p>
      <w:pPr>
        <w:pStyle w:val="14"/>
        <w:tabs>
          <w:tab w:val="left" w:pos="7891"/>
        </w:tabs>
        <w:spacing w:after="140" w:line="240" w:lineRule="auto"/>
        <w:ind w:left="5280" w:firstLine="0"/>
        <w:rPr>
          <w:color w:val="auto"/>
        </w:rPr>
      </w:pPr>
      <w:r>
        <w:rPr>
          <w:color w:val="auto"/>
        </w:rPr>
        <w:t>学院负责人:</w:t>
      </w:r>
      <w:r>
        <w:rPr>
          <w:color w:val="auto"/>
          <w:u w:val="single"/>
        </w:rPr>
        <w:tab/>
      </w:r>
      <w:r>
        <w:rPr>
          <w:color w:val="auto"/>
        </w:rPr>
        <w:br w:type="page"/>
      </w:r>
    </w:p>
    <w:p>
      <w:pPr>
        <w:pStyle w:val="14"/>
        <w:spacing w:line="307" w:lineRule="exact"/>
        <w:ind w:firstLine="420"/>
        <w:jc w:val="both"/>
        <w:rPr>
          <w:rFonts w:eastAsiaTheme="minorEastAsia"/>
          <w:color w:val="auto"/>
          <w:lang w:eastAsia="zh-CN"/>
        </w:rPr>
      </w:pPr>
      <w:r>
        <w:rPr>
          <w:rFonts w:hint="eastAsia" w:asciiTheme="minorEastAsia" w:hAnsiTheme="minorEastAsia" w:eastAsiaTheme="minorEastAsia"/>
          <w:color w:val="auto"/>
        </w:rPr>
        <w:t>附件</w:t>
      </w:r>
      <w:r>
        <w:rPr>
          <w:rFonts w:ascii="Times New Roman" w:hAnsi="Times New Roman" w:eastAsia="PMingLiU" w:cs="Times New Roman"/>
          <w:color w:val="auto"/>
          <w:sz w:val="20"/>
          <w:szCs w:val="20"/>
        </w:rPr>
        <w:t>2</w:t>
      </w:r>
      <w:r>
        <w:rPr>
          <w:rFonts w:hint="eastAsia" w:asciiTheme="minorEastAsia" w:hAnsiTheme="minorEastAsia" w:eastAsiaTheme="minorEastAsia"/>
          <w:color w:val="auto"/>
          <w:lang w:eastAsia="zh-CN"/>
        </w:rPr>
        <w:t>：</w:t>
      </w:r>
    </w:p>
    <w:p>
      <w:pPr>
        <w:pStyle w:val="14"/>
        <w:spacing w:after="80" w:line="240" w:lineRule="auto"/>
        <w:ind w:firstLine="0"/>
        <w:jc w:val="center"/>
        <w:rPr>
          <w:color w:val="auto"/>
        </w:rPr>
      </w:pPr>
      <w:r>
        <w:rPr>
          <w:bCs/>
          <w:color w:val="auto"/>
          <w:sz w:val="24"/>
        </w:rPr>
        <w:t>本科生试卷成绩复查登记表</w:t>
      </w:r>
    </w:p>
    <w:tbl>
      <w:tblPr>
        <w:tblStyle w:val="6"/>
        <w:tblW w:w="0" w:type="auto"/>
        <w:jc w:val="center"/>
        <w:tblLayout w:type="fixed"/>
        <w:tblCellMar>
          <w:top w:w="0" w:type="dxa"/>
          <w:left w:w="10" w:type="dxa"/>
          <w:bottom w:w="0" w:type="dxa"/>
          <w:right w:w="10" w:type="dxa"/>
        </w:tblCellMar>
      </w:tblPr>
      <w:tblGrid>
        <w:gridCol w:w="912"/>
        <w:gridCol w:w="1618"/>
        <w:gridCol w:w="1258"/>
        <w:gridCol w:w="907"/>
        <w:gridCol w:w="1267"/>
        <w:gridCol w:w="2179"/>
      </w:tblGrid>
      <w:tr>
        <w:tblPrEx>
          <w:tblCellMar>
            <w:top w:w="0" w:type="dxa"/>
            <w:left w:w="10" w:type="dxa"/>
            <w:bottom w:w="0" w:type="dxa"/>
            <w:right w:w="10" w:type="dxa"/>
          </w:tblCellMar>
        </w:tblPrEx>
        <w:trPr>
          <w:trHeight w:val="581" w:hRule="exact"/>
          <w:jc w:val="center"/>
        </w:trPr>
        <w:tc>
          <w:tcPr>
            <w:tcW w:w="8141" w:type="dxa"/>
            <w:gridSpan w:val="6"/>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jc w:val="center"/>
              <w:rPr>
                <w:color w:val="auto"/>
              </w:rPr>
            </w:pPr>
            <w:r>
              <w:rPr>
                <w:color w:val="auto"/>
              </w:rPr>
              <w:t>个人申请</w:t>
            </w:r>
          </w:p>
        </w:tc>
      </w:tr>
      <w:tr>
        <w:tblPrEx>
          <w:tblCellMar>
            <w:top w:w="0" w:type="dxa"/>
            <w:left w:w="10" w:type="dxa"/>
            <w:bottom w:w="0" w:type="dxa"/>
            <w:right w:w="10" w:type="dxa"/>
          </w:tblCellMar>
        </w:tblPrEx>
        <w:trPr>
          <w:trHeight w:val="566" w:hRule="exact"/>
          <w:jc w:val="center"/>
        </w:trPr>
        <w:tc>
          <w:tcPr>
            <w:tcW w:w="912"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姓名</w:t>
            </w:r>
          </w:p>
        </w:tc>
        <w:tc>
          <w:tcPr>
            <w:tcW w:w="1618" w:type="dxa"/>
            <w:tcBorders>
              <w:top w:val="single" w:color="auto" w:sz="4" w:space="0"/>
              <w:left w:val="single" w:color="auto" w:sz="4" w:space="0"/>
            </w:tcBorders>
            <w:shd w:val="clear" w:color="auto" w:fill="FFFFFF"/>
          </w:tcPr>
          <w:p>
            <w:pPr>
              <w:rPr>
                <w:color w:val="auto"/>
                <w:sz w:val="10"/>
                <w:szCs w:val="10"/>
              </w:rPr>
            </w:pPr>
          </w:p>
        </w:tc>
        <w:tc>
          <w:tcPr>
            <w:tcW w:w="1258"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学号</w:t>
            </w:r>
          </w:p>
        </w:tc>
        <w:tc>
          <w:tcPr>
            <w:tcW w:w="907" w:type="dxa"/>
            <w:tcBorders>
              <w:top w:val="single" w:color="auto" w:sz="4" w:space="0"/>
              <w:left w:val="single" w:color="auto" w:sz="4" w:space="0"/>
            </w:tcBorders>
            <w:shd w:val="clear" w:color="auto" w:fill="FFFFFF"/>
          </w:tcPr>
          <w:p>
            <w:pPr>
              <w:rPr>
                <w:color w:val="auto"/>
                <w:sz w:val="10"/>
                <w:szCs w:val="10"/>
              </w:rPr>
            </w:pPr>
          </w:p>
        </w:tc>
        <w:tc>
          <w:tcPr>
            <w:tcW w:w="1267"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专业</w:t>
            </w:r>
          </w:p>
        </w:tc>
        <w:tc>
          <w:tcPr>
            <w:tcW w:w="2179" w:type="dxa"/>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66" w:hRule="exact"/>
          <w:jc w:val="center"/>
        </w:trPr>
        <w:tc>
          <w:tcPr>
            <w:tcW w:w="912"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课程名称</w:t>
            </w:r>
          </w:p>
        </w:tc>
        <w:tc>
          <w:tcPr>
            <w:tcW w:w="1618" w:type="dxa"/>
            <w:tcBorders>
              <w:top w:val="single" w:color="auto" w:sz="4" w:space="0"/>
              <w:left w:val="single" w:color="auto" w:sz="4" w:space="0"/>
            </w:tcBorders>
            <w:shd w:val="clear" w:color="auto" w:fill="FFFFFF"/>
          </w:tcPr>
          <w:p>
            <w:pPr>
              <w:rPr>
                <w:color w:val="auto"/>
                <w:sz w:val="10"/>
                <w:szCs w:val="10"/>
              </w:rPr>
            </w:pPr>
          </w:p>
        </w:tc>
        <w:tc>
          <w:tcPr>
            <w:tcW w:w="1258"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任课老师</w:t>
            </w:r>
          </w:p>
        </w:tc>
        <w:tc>
          <w:tcPr>
            <w:tcW w:w="907" w:type="dxa"/>
            <w:tcBorders>
              <w:top w:val="single" w:color="auto" w:sz="4" w:space="0"/>
              <w:left w:val="single" w:color="auto" w:sz="4" w:space="0"/>
            </w:tcBorders>
            <w:shd w:val="clear" w:color="auto" w:fill="FFFFFF"/>
          </w:tcPr>
          <w:p>
            <w:pPr>
              <w:rPr>
                <w:color w:val="auto"/>
                <w:sz w:val="10"/>
                <w:szCs w:val="10"/>
              </w:rPr>
            </w:pPr>
          </w:p>
        </w:tc>
        <w:tc>
          <w:tcPr>
            <w:tcW w:w="1267" w:type="dxa"/>
            <w:tcBorders>
              <w:top w:val="single" w:color="auto" w:sz="4" w:space="0"/>
              <w:left w:val="single" w:color="auto" w:sz="4" w:space="0"/>
            </w:tcBorders>
            <w:shd w:val="clear" w:color="auto" w:fill="FFFFFF"/>
          </w:tcPr>
          <w:p>
            <w:pPr>
              <w:rPr>
                <w:color w:val="auto"/>
                <w:sz w:val="10"/>
                <w:szCs w:val="10"/>
              </w:rPr>
            </w:pPr>
          </w:p>
        </w:tc>
        <w:tc>
          <w:tcPr>
            <w:tcW w:w="2179" w:type="dxa"/>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66" w:hRule="exact"/>
          <w:jc w:val="center"/>
        </w:trPr>
        <w:tc>
          <w:tcPr>
            <w:tcW w:w="912"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考试时间</w:t>
            </w:r>
          </w:p>
        </w:tc>
        <w:tc>
          <w:tcPr>
            <w:tcW w:w="1618" w:type="dxa"/>
            <w:tcBorders>
              <w:top w:val="single" w:color="auto" w:sz="4" w:space="0"/>
              <w:left w:val="single" w:color="auto" w:sz="4" w:space="0"/>
            </w:tcBorders>
            <w:shd w:val="clear" w:color="auto" w:fill="FFFFFF"/>
          </w:tcPr>
          <w:p>
            <w:pPr>
              <w:rPr>
                <w:color w:val="auto"/>
                <w:sz w:val="10"/>
                <w:szCs w:val="10"/>
              </w:rPr>
            </w:pPr>
          </w:p>
        </w:tc>
        <w:tc>
          <w:tcPr>
            <w:tcW w:w="1258"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考试成绩</w:t>
            </w:r>
          </w:p>
        </w:tc>
        <w:tc>
          <w:tcPr>
            <w:tcW w:w="907" w:type="dxa"/>
            <w:tcBorders>
              <w:top w:val="single" w:color="auto" w:sz="4" w:space="0"/>
              <w:left w:val="single" w:color="auto" w:sz="4" w:space="0"/>
            </w:tcBorders>
            <w:shd w:val="clear" w:color="auto" w:fill="FFFFFF"/>
          </w:tcPr>
          <w:p>
            <w:pPr>
              <w:rPr>
                <w:color w:val="auto"/>
                <w:sz w:val="10"/>
                <w:szCs w:val="10"/>
              </w:rPr>
            </w:pPr>
          </w:p>
        </w:tc>
        <w:tc>
          <w:tcPr>
            <w:tcW w:w="1267" w:type="dxa"/>
            <w:tcBorders>
              <w:top w:val="single" w:color="auto" w:sz="4" w:space="0"/>
              <w:left w:val="single" w:color="auto" w:sz="4" w:space="0"/>
            </w:tcBorders>
            <w:shd w:val="clear" w:color="auto" w:fill="FFFFFF"/>
          </w:tcPr>
          <w:p>
            <w:pPr>
              <w:rPr>
                <w:color w:val="auto"/>
                <w:sz w:val="10"/>
                <w:szCs w:val="10"/>
              </w:rPr>
            </w:pPr>
          </w:p>
        </w:tc>
        <w:tc>
          <w:tcPr>
            <w:tcW w:w="2179" w:type="dxa"/>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1133" w:hRule="exact"/>
          <w:jc w:val="center"/>
        </w:trPr>
        <w:tc>
          <w:tcPr>
            <w:tcW w:w="912"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申请理由</w:t>
            </w:r>
          </w:p>
        </w:tc>
        <w:tc>
          <w:tcPr>
            <w:tcW w:w="7229"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1133" w:hRule="exact"/>
          <w:jc w:val="center"/>
        </w:trPr>
        <w:tc>
          <w:tcPr>
            <w:tcW w:w="912" w:type="dxa"/>
            <w:tcBorders>
              <w:top w:val="single" w:color="auto" w:sz="4" w:space="0"/>
              <w:left w:val="single" w:color="auto" w:sz="4" w:space="0"/>
            </w:tcBorders>
            <w:shd w:val="clear" w:color="auto" w:fill="FFFFFF"/>
            <w:vAlign w:val="center"/>
          </w:tcPr>
          <w:p>
            <w:pPr>
              <w:pStyle w:val="20"/>
              <w:spacing w:line="274" w:lineRule="exact"/>
              <w:ind w:firstLine="0"/>
              <w:jc w:val="center"/>
              <w:rPr>
                <w:color w:val="auto"/>
              </w:rPr>
            </w:pPr>
            <w:r>
              <w:rPr>
                <w:color w:val="auto"/>
              </w:rPr>
              <w:t>学生所在学院意见</w:t>
            </w:r>
          </w:p>
        </w:tc>
        <w:tc>
          <w:tcPr>
            <w:tcW w:w="7229"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1138" w:hRule="exact"/>
          <w:jc w:val="center"/>
        </w:trPr>
        <w:tc>
          <w:tcPr>
            <w:tcW w:w="912"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复査记录</w:t>
            </w:r>
          </w:p>
        </w:tc>
        <w:tc>
          <w:tcPr>
            <w:tcW w:w="7229"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1133" w:hRule="exact"/>
          <w:jc w:val="center"/>
        </w:trPr>
        <w:tc>
          <w:tcPr>
            <w:tcW w:w="912"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复査情况</w:t>
            </w:r>
          </w:p>
        </w:tc>
        <w:tc>
          <w:tcPr>
            <w:tcW w:w="7229" w:type="dxa"/>
            <w:gridSpan w:val="5"/>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1133" w:hRule="exact"/>
          <w:jc w:val="center"/>
        </w:trPr>
        <w:tc>
          <w:tcPr>
            <w:tcW w:w="912"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复查结果</w:t>
            </w:r>
          </w:p>
        </w:tc>
        <w:tc>
          <w:tcPr>
            <w:tcW w:w="7229" w:type="dxa"/>
            <w:gridSpan w:val="5"/>
            <w:tcBorders>
              <w:top w:val="single" w:color="auto" w:sz="4" w:space="0"/>
              <w:left w:val="single" w:color="auto" w:sz="4" w:space="0"/>
              <w:right w:val="single" w:color="auto" w:sz="4" w:space="0"/>
            </w:tcBorders>
            <w:shd w:val="clear" w:color="auto" w:fill="FFFFFF"/>
            <w:vAlign w:val="center"/>
          </w:tcPr>
          <w:p>
            <w:pPr>
              <w:pStyle w:val="20"/>
              <w:spacing w:line="240" w:lineRule="auto"/>
              <w:ind w:firstLine="160"/>
              <w:rPr>
                <w:color w:val="auto"/>
              </w:rPr>
            </w:pPr>
            <w:r>
              <w:rPr>
                <w:color w:val="auto"/>
              </w:rPr>
              <w:t>应得成绩：</w:t>
            </w:r>
          </w:p>
        </w:tc>
      </w:tr>
      <w:tr>
        <w:tblPrEx>
          <w:tblCellMar>
            <w:top w:w="0" w:type="dxa"/>
            <w:left w:w="10" w:type="dxa"/>
            <w:bottom w:w="0" w:type="dxa"/>
            <w:right w:w="10" w:type="dxa"/>
          </w:tblCellMar>
        </w:tblPrEx>
        <w:trPr>
          <w:trHeight w:val="1387" w:hRule="exact"/>
          <w:jc w:val="center"/>
        </w:trPr>
        <w:tc>
          <w:tcPr>
            <w:tcW w:w="912" w:type="dxa"/>
            <w:tcBorders>
              <w:top w:val="single" w:color="auto" w:sz="4" w:space="0"/>
              <w:left w:val="single" w:color="auto" w:sz="4" w:space="0"/>
            </w:tcBorders>
            <w:shd w:val="clear" w:color="auto" w:fill="FFFFFF"/>
            <w:vAlign w:val="center"/>
          </w:tcPr>
          <w:p>
            <w:pPr>
              <w:pStyle w:val="20"/>
              <w:spacing w:line="288" w:lineRule="exact"/>
              <w:ind w:firstLine="0"/>
              <w:jc w:val="center"/>
              <w:rPr>
                <w:rFonts w:eastAsia="PMingLiU"/>
                <w:color w:val="auto"/>
              </w:rPr>
            </w:pPr>
            <w:r>
              <w:rPr>
                <w:color w:val="auto"/>
              </w:rPr>
              <w:t>复查人</w:t>
            </w:r>
          </w:p>
          <w:p>
            <w:pPr>
              <w:pStyle w:val="20"/>
              <w:spacing w:line="288" w:lineRule="exact"/>
              <w:ind w:firstLine="0"/>
              <w:jc w:val="center"/>
              <w:rPr>
                <w:color w:val="auto"/>
              </w:rPr>
            </w:pPr>
            <w:r>
              <w:rPr>
                <w:color w:val="auto"/>
              </w:rPr>
              <w:t>签字</w:t>
            </w:r>
          </w:p>
        </w:tc>
        <w:tc>
          <w:tcPr>
            <w:tcW w:w="7229" w:type="dxa"/>
            <w:gridSpan w:val="5"/>
            <w:tcBorders>
              <w:top w:val="single" w:color="auto" w:sz="4" w:space="0"/>
              <w:left w:val="single" w:color="auto" w:sz="4" w:space="0"/>
              <w:right w:val="single" w:color="auto" w:sz="4" w:space="0"/>
            </w:tcBorders>
            <w:shd w:val="clear" w:color="auto" w:fill="FFFFFF"/>
            <w:vAlign w:val="center"/>
          </w:tcPr>
          <w:p>
            <w:pPr>
              <w:pStyle w:val="20"/>
              <w:tabs>
                <w:tab w:val="left" w:pos="2723"/>
              </w:tabs>
              <w:spacing w:after="60" w:line="240" w:lineRule="auto"/>
              <w:ind w:firstLine="160"/>
              <w:rPr>
                <w:color w:val="auto"/>
              </w:rPr>
            </w:pPr>
            <w:r>
              <w:rPr>
                <w:color w:val="auto"/>
              </w:rPr>
              <w:t>任课老师：</w:t>
            </w:r>
            <w:r>
              <w:rPr>
                <w:color w:val="auto"/>
              </w:rPr>
              <w:tab/>
            </w:r>
            <w:r>
              <w:rPr>
                <w:color w:val="auto"/>
              </w:rPr>
              <w:t>开课学院教务秘书：</w:t>
            </w:r>
          </w:p>
          <w:p>
            <w:pPr>
              <w:pStyle w:val="20"/>
              <w:spacing w:line="240" w:lineRule="auto"/>
              <w:ind w:firstLine="160"/>
              <w:rPr>
                <w:color w:val="auto"/>
              </w:rPr>
            </w:pPr>
            <w:r>
              <w:rPr>
                <w:color w:val="auto"/>
              </w:rPr>
              <w:t>课程组长：</w:t>
            </w:r>
          </w:p>
        </w:tc>
      </w:tr>
      <w:tr>
        <w:tblPrEx>
          <w:tblCellMar>
            <w:top w:w="0" w:type="dxa"/>
            <w:left w:w="10" w:type="dxa"/>
            <w:bottom w:w="0" w:type="dxa"/>
            <w:right w:w="10" w:type="dxa"/>
          </w:tblCellMar>
        </w:tblPrEx>
        <w:trPr>
          <w:trHeight w:val="1392" w:hRule="exact"/>
          <w:jc w:val="center"/>
        </w:trPr>
        <w:tc>
          <w:tcPr>
            <w:tcW w:w="912" w:type="dxa"/>
            <w:tcBorders>
              <w:top w:val="single" w:color="auto" w:sz="4" w:space="0"/>
              <w:left w:val="single" w:color="auto" w:sz="4" w:space="0"/>
            </w:tcBorders>
            <w:shd w:val="clear" w:color="auto" w:fill="FFFFFF"/>
            <w:vAlign w:val="center"/>
          </w:tcPr>
          <w:p>
            <w:pPr>
              <w:pStyle w:val="20"/>
              <w:spacing w:line="274" w:lineRule="exact"/>
              <w:ind w:firstLine="0"/>
              <w:jc w:val="center"/>
              <w:rPr>
                <w:color w:val="auto"/>
              </w:rPr>
            </w:pPr>
            <w:r>
              <w:rPr>
                <w:color w:val="auto"/>
              </w:rPr>
              <w:t>开课学院意见</w:t>
            </w:r>
          </w:p>
        </w:tc>
        <w:tc>
          <w:tcPr>
            <w:tcW w:w="7229" w:type="dxa"/>
            <w:gridSpan w:val="5"/>
            <w:tcBorders>
              <w:top w:val="single" w:color="auto" w:sz="4" w:space="0"/>
              <w:left w:val="single" w:color="auto" w:sz="4" w:space="0"/>
              <w:right w:val="single" w:color="auto" w:sz="4" w:space="0"/>
            </w:tcBorders>
            <w:shd w:val="clear" w:color="auto" w:fill="FFFFFF"/>
            <w:vAlign w:val="bottom"/>
          </w:tcPr>
          <w:p>
            <w:pPr>
              <w:pStyle w:val="20"/>
              <w:tabs>
                <w:tab w:val="left" w:pos="5603"/>
              </w:tabs>
              <w:spacing w:line="240" w:lineRule="auto"/>
              <w:ind w:firstLine="160"/>
              <w:rPr>
                <w:color w:val="auto"/>
              </w:rPr>
            </w:pPr>
            <w:r>
              <w:rPr>
                <w:color w:val="auto"/>
              </w:rPr>
              <w:t>负责人签字：</w:t>
            </w:r>
            <w:r>
              <w:rPr>
                <w:color w:val="auto"/>
              </w:rPr>
              <w:tab/>
            </w:r>
            <w:r>
              <w:rPr>
                <w:color w:val="auto"/>
              </w:rPr>
              <w:t>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tc>
      </w:tr>
      <w:tr>
        <w:tblPrEx>
          <w:tblCellMar>
            <w:top w:w="0" w:type="dxa"/>
            <w:left w:w="10" w:type="dxa"/>
            <w:bottom w:w="0" w:type="dxa"/>
            <w:right w:w="10" w:type="dxa"/>
          </w:tblCellMar>
        </w:tblPrEx>
        <w:trPr>
          <w:trHeight w:val="1397" w:hRule="exact"/>
          <w:jc w:val="center"/>
        </w:trPr>
        <w:tc>
          <w:tcPr>
            <w:tcW w:w="912" w:type="dxa"/>
            <w:tcBorders>
              <w:top w:val="single" w:color="auto" w:sz="4" w:space="0"/>
              <w:left w:val="single" w:color="auto" w:sz="4" w:space="0"/>
              <w:bottom w:val="single" w:color="auto" w:sz="4" w:space="0"/>
            </w:tcBorders>
            <w:shd w:val="clear" w:color="auto" w:fill="FFFFFF"/>
            <w:vAlign w:val="center"/>
          </w:tcPr>
          <w:p>
            <w:pPr>
              <w:pStyle w:val="20"/>
              <w:spacing w:line="274" w:lineRule="exact"/>
              <w:ind w:firstLine="0"/>
              <w:jc w:val="center"/>
              <w:rPr>
                <w:color w:val="auto"/>
              </w:rPr>
            </w:pPr>
            <w:r>
              <w:rPr>
                <w:color w:val="auto"/>
              </w:rPr>
              <w:t>教学</w:t>
            </w:r>
            <w:r>
              <w:rPr>
                <w:rFonts w:hint="eastAsia"/>
                <w:color w:val="auto"/>
              </w:rPr>
              <w:t>科研</w:t>
            </w:r>
            <w:r>
              <w:rPr>
                <w:color w:val="auto"/>
              </w:rPr>
              <w:t>处意见</w:t>
            </w:r>
          </w:p>
        </w:tc>
        <w:tc>
          <w:tcPr>
            <w:tcW w:w="7229" w:type="dxa"/>
            <w:gridSpan w:val="5"/>
            <w:tcBorders>
              <w:top w:val="single" w:color="auto" w:sz="4" w:space="0"/>
              <w:left w:val="single" w:color="auto" w:sz="4" w:space="0"/>
              <w:bottom w:val="single" w:color="auto" w:sz="4" w:space="0"/>
              <w:right w:val="single" w:color="auto" w:sz="4" w:space="0"/>
            </w:tcBorders>
            <w:shd w:val="clear" w:color="auto" w:fill="FFFFFF"/>
            <w:vAlign w:val="bottom"/>
          </w:tcPr>
          <w:p>
            <w:pPr>
              <w:pStyle w:val="20"/>
              <w:tabs>
                <w:tab w:val="left" w:pos="5603"/>
              </w:tabs>
              <w:spacing w:line="240" w:lineRule="auto"/>
              <w:ind w:firstLine="160"/>
              <w:rPr>
                <w:color w:val="auto"/>
              </w:rPr>
            </w:pPr>
            <w:r>
              <w:rPr>
                <w:color w:val="auto"/>
              </w:rPr>
              <w:t>负责人签字：</w:t>
            </w:r>
            <w:r>
              <w:rPr>
                <w:color w:val="auto"/>
              </w:rPr>
              <w:tab/>
            </w:r>
            <w:r>
              <w:rPr>
                <w:color w:val="auto"/>
              </w:rPr>
              <w:t>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tc>
      </w:tr>
    </w:tbl>
    <w:p>
      <w:pPr>
        <w:spacing w:line="1" w:lineRule="exact"/>
        <w:rPr>
          <w:color w:val="auto"/>
          <w:sz w:val="2"/>
          <w:szCs w:val="2"/>
        </w:rPr>
      </w:pPr>
      <w:r>
        <w:rPr>
          <w:color w:val="auto"/>
        </w:rPr>
        <w:br w:type="page"/>
      </w:r>
    </w:p>
    <w:p>
      <w:pPr>
        <w:pStyle w:val="14"/>
        <w:spacing w:line="307" w:lineRule="exact"/>
        <w:ind w:firstLine="420"/>
        <w:jc w:val="both"/>
        <w:rPr>
          <w:rFonts w:eastAsia="PMingLiU"/>
          <w:color w:val="auto"/>
          <w:lang w:eastAsia="zh-CN"/>
        </w:rPr>
      </w:pPr>
      <w:r>
        <w:rPr>
          <w:rFonts w:hint="eastAsia" w:asciiTheme="minorEastAsia" w:hAnsiTheme="minorEastAsia" w:eastAsiaTheme="minorEastAsia"/>
          <w:color w:val="auto"/>
        </w:rPr>
        <w:t>附件</w:t>
      </w:r>
      <w:r>
        <w:rPr>
          <w:rFonts w:ascii="Times New Roman" w:hAnsi="Times New Roman" w:eastAsia="PMingLiU" w:cs="Times New Roman"/>
          <w:color w:val="auto"/>
          <w:sz w:val="20"/>
          <w:szCs w:val="20"/>
        </w:rPr>
        <w:t>3</w:t>
      </w:r>
      <w:r>
        <w:rPr>
          <w:rFonts w:hint="eastAsia" w:asciiTheme="minorEastAsia" w:hAnsiTheme="minorEastAsia" w:eastAsiaTheme="minorEastAsia"/>
          <w:color w:val="auto"/>
          <w:lang w:eastAsia="zh-CN"/>
        </w:rPr>
        <w:t>：</w:t>
      </w:r>
    </w:p>
    <w:p>
      <w:pPr>
        <w:pStyle w:val="14"/>
        <w:spacing w:after="180" w:line="240" w:lineRule="auto"/>
        <w:ind w:firstLine="0"/>
        <w:jc w:val="center"/>
        <w:rPr>
          <w:color w:val="auto"/>
        </w:rPr>
      </w:pPr>
      <w:r>
        <w:rPr>
          <w:color w:val="auto"/>
        </w:rPr>
        <w:t>南京航空航天大学金城学院</w:t>
      </w:r>
    </w:p>
    <w:p>
      <w:pPr>
        <w:pStyle w:val="14"/>
        <w:spacing w:after="100" w:line="240" w:lineRule="auto"/>
        <w:ind w:firstLine="0"/>
        <w:jc w:val="center"/>
        <w:rPr>
          <w:color w:val="auto"/>
        </w:rPr>
      </w:pPr>
      <w:r>
        <w:rPr>
          <w:color w:val="auto"/>
        </w:rPr>
        <w:t>本科生课程考试成绩补登、更改申请表</w:t>
      </w:r>
    </w:p>
    <w:p>
      <w:pPr>
        <w:pStyle w:val="26"/>
        <w:ind w:right="340"/>
        <w:jc w:val="right"/>
        <w:rPr>
          <w:color w:val="auto"/>
          <w:sz w:val="17"/>
          <w:szCs w:val="17"/>
        </w:rPr>
      </w:pPr>
      <w:r>
        <w:rPr>
          <w:rFonts w:ascii="Times New Roman" w:hAnsi="Times New Roman"/>
          <w:color w:val="auto"/>
          <w:sz w:val="20"/>
          <w:szCs w:val="17"/>
          <w:lang w:val="en-US" w:eastAsia="en-US" w:bidi="en-US"/>
        </w:rPr>
        <w:t>2015</w:t>
      </w:r>
      <w:r>
        <w:rPr>
          <w:color w:val="auto"/>
          <w:sz w:val="17"/>
          <w:szCs w:val="17"/>
          <w:lang w:val="en-US" w:eastAsia="en-US" w:bidi="en-US"/>
        </w:rPr>
        <w:t>-</w:t>
      </w:r>
      <w:r>
        <w:rPr>
          <w:rFonts w:ascii="Times New Roman" w:hAnsi="Times New Roman"/>
          <w:color w:val="auto"/>
          <w:sz w:val="20"/>
          <w:szCs w:val="17"/>
          <w:lang w:val="en-US" w:eastAsia="en-US" w:bidi="en-US"/>
        </w:rPr>
        <w:t>7</w:t>
      </w:r>
      <w:r>
        <w:rPr>
          <w:color w:val="auto"/>
          <w:sz w:val="17"/>
          <w:szCs w:val="17"/>
          <w:lang w:val="en-US" w:eastAsia="en-US" w:bidi="en-US"/>
        </w:rPr>
        <w:t>-</w:t>
      </w:r>
      <w:r>
        <w:rPr>
          <w:rFonts w:ascii="Times New Roman" w:hAnsi="Times New Roman"/>
          <w:color w:val="auto"/>
          <w:sz w:val="20"/>
          <w:szCs w:val="17"/>
          <w:lang w:val="en-US" w:eastAsia="en-US" w:bidi="en-US"/>
        </w:rPr>
        <w:t>8</w:t>
      </w:r>
    </w:p>
    <w:tbl>
      <w:tblPr>
        <w:tblStyle w:val="6"/>
        <w:tblW w:w="0" w:type="auto"/>
        <w:jc w:val="center"/>
        <w:tblLayout w:type="fixed"/>
        <w:tblCellMar>
          <w:top w:w="0" w:type="dxa"/>
          <w:left w:w="10" w:type="dxa"/>
          <w:bottom w:w="0" w:type="dxa"/>
          <w:right w:w="10" w:type="dxa"/>
        </w:tblCellMar>
      </w:tblPr>
      <w:tblGrid>
        <w:gridCol w:w="1123"/>
        <w:gridCol w:w="1440"/>
        <w:gridCol w:w="1445"/>
        <w:gridCol w:w="1440"/>
        <w:gridCol w:w="734"/>
        <w:gridCol w:w="730"/>
        <w:gridCol w:w="730"/>
        <w:gridCol w:w="744"/>
      </w:tblGrid>
      <w:tr>
        <w:tblPrEx>
          <w:tblCellMar>
            <w:top w:w="0" w:type="dxa"/>
            <w:left w:w="10" w:type="dxa"/>
            <w:bottom w:w="0" w:type="dxa"/>
            <w:right w:w="10" w:type="dxa"/>
          </w:tblCellMar>
        </w:tblPrEx>
        <w:trPr>
          <w:trHeight w:val="691" w:hRule="exact"/>
          <w:jc w:val="center"/>
        </w:trPr>
        <w:tc>
          <w:tcPr>
            <w:tcW w:w="1123"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color w:val="auto"/>
              </w:rPr>
              <w:t>课程名称</w:t>
            </w:r>
          </w:p>
        </w:tc>
        <w:tc>
          <w:tcPr>
            <w:tcW w:w="4325" w:type="dxa"/>
            <w:gridSpan w:val="3"/>
            <w:tcBorders>
              <w:top w:val="single" w:color="auto" w:sz="4" w:space="0"/>
              <w:left w:val="single" w:color="auto" w:sz="4" w:space="0"/>
            </w:tcBorders>
            <w:shd w:val="clear" w:color="auto" w:fill="FFFFFF"/>
          </w:tcPr>
          <w:p>
            <w:pPr>
              <w:rPr>
                <w:color w:val="auto"/>
                <w:sz w:val="10"/>
                <w:szCs w:val="10"/>
              </w:rPr>
            </w:pPr>
          </w:p>
        </w:tc>
        <w:tc>
          <w:tcPr>
            <w:tcW w:w="734"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学时</w:t>
            </w:r>
          </w:p>
        </w:tc>
        <w:tc>
          <w:tcPr>
            <w:tcW w:w="730" w:type="dxa"/>
            <w:tcBorders>
              <w:top w:val="single" w:color="auto" w:sz="4" w:space="0"/>
              <w:left w:val="single" w:color="auto" w:sz="4" w:space="0"/>
            </w:tcBorders>
            <w:shd w:val="clear" w:color="auto" w:fill="FFFFFF"/>
          </w:tcPr>
          <w:p>
            <w:pPr>
              <w:rPr>
                <w:color w:val="auto"/>
                <w:sz w:val="10"/>
                <w:szCs w:val="10"/>
              </w:rPr>
            </w:pPr>
          </w:p>
        </w:tc>
        <w:tc>
          <w:tcPr>
            <w:tcW w:w="73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学分</w:t>
            </w:r>
          </w:p>
        </w:tc>
        <w:tc>
          <w:tcPr>
            <w:tcW w:w="744" w:type="dxa"/>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677" w:hRule="exact"/>
          <w:jc w:val="center"/>
        </w:trPr>
        <w:tc>
          <w:tcPr>
            <w:tcW w:w="1123"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rFonts w:hint="eastAsia"/>
                <w:color w:val="auto"/>
              </w:rPr>
              <w:t>课程</w:t>
            </w:r>
            <w:r>
              <w:rPr>
                <w:color w:val="auto"/>
              </w:rPr>
              <w:t>类别</w:t>
            </w:r>
          </w:p>
        </w:tc>
        <w:tc>
          <w:tcPr>
            <w:tcW w:w="1440" w:type="dxa"/>
            <w:tcBorders>
              <w:top w:val="single" w:color="auto" w:sz="4" w:space="0"/>
              <w:left w:val="single" w:color="auto" w:sz="4" w:space="0"/>
            </w:tcBorders>
            <w:shd w:val="clear" w:color="auto" w:fill="FFFFFF"/>
          </w:tcPr>
          <w:p>
            <w:pPr>
              <w:rPr>
                <w:color w:val="auto"/>
                <w:sz w:val="10"/>
                <w:szCs w:val="10"/>
              </w:rPr>
            </w:pPr>
          </w:p>
        </w:tc>
        <w:tc>
          <w:tcPr>
            <w:tcW w:w="1445"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课程号</w:t>
            </w:r>
          </w:p>
        </w:tc>
        <w:tc>
          <w:tcPr>
            <w:tcW w:w="1440" w:type="dxa"/>
            <w:tcBorders>
              <w:top w:val="single" w:color="auto" w:sz="4" w:space="0"/>
              <w:left w:val="single" w:color="auto" w:sz="4" w:space="0"/>
            </w:tcBorders>
            <w:shd w:val="clear" w:color="auto" w:fill="FFFFFF"/>
          </w:tcPr>
          <w:p>
            <w:pPr>
              <w:rPr>
                <w:color w:val="auto"/>
                <w:sz w:val="10"/>
                <w:szCs w:val="10"/>
              </w:rPr>
            </w:pPr>
          </w:p>
        </w:tc>
        <w:tc>
          <w:tcPr>
            <w:tcW w:w="1464" w:type="dxa"/>
            <w:gridSpan w:val="2"/>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考试日期</w:t>
            </w:r>
          </w:p>
        </w:tc>
        <w:tc>
          <w:tcPr>
            <w:tcW w:w="1474" w:type="dxa"/>
            <w:gridSpan w:val="2"/>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682" w:hRule="exact"/>
          <w:jc w:val="center"/>
        </w:trPr>
        <w:tc>
          <w:tcPr>
            <w:tcW w:w="1123"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color w:val="auto"/>
              </w:rPr>
              <w:t>考试类别</w:t>
            </w:r>
          </w:p>
        </w:tc>
        <w:tc>
          <w:tcPr>
            <w:tcW w:w="7263" w:type="dxa"/>
            <w:gridSpan w:val="7"/>
            <w:tcBorders>
              <w:top w:val="single" w:color="auto" w:sz="4" w:space="0"/>
              <w:left w:val="single" w:color="auto" w:sz="4" w:space="0"/>
              <w:right w:val="single" w:color="auto" w:sz="4" w:space="0"/>
            </w:tcBorders>
            <w:shd w:val="clear" w:color="auto" w:fill="FFFFFF"/>
            <w:vAlign w:val="center"/>
          </w:tcPr>
          <w:p>
            <w:pPr>
              <w:pStyle w:val="20"/>
              <w:tabs>
                <w:tab w:val="left" w:pos="1406"/>
                <w:tab w:val="left" w:pos="3629"/>
                <w:tab w:val="left" w:pos="4766"/>
                <w:tab w:val="left" w:pos="5846"/>
              </w:tabs>
              <w:spacing w:line="240" w:lineRule="auto"/>
              <w:ind w:firstLine="0"/>
              <w:jc w:val="center"/>
              <w:rPr>
                <w:color w:val="auto"/>
              </w:rPr>
            </w:pPr>
            <w:r>
              <w:rPr>
                <w:color w:val="auto"/>
              </w:rPr>
              <w:t>□停课考试</w:t>
            </w:r>
            <w:r>
              <w:rPr>
                <w:color w:val="auto"/>
              </w:rPr>
              <w:tab/>
            </w:r>
            <w:r>
              <w:rPr>
                <w:color w:val="auto"/>
              </w:rPr>
              <w:t>□不停课考试（考査）</w:t>
            </w:r>
            <w:r>
              <w:rPr>
                <w:color w:val="auto"/>
              </w:rPr>
              <w:tab/>
            </w:r>
            <w:r>
              <w:rPr>
                <w:color w:val="auto"/>
              </w:rPr>
              <w:t>□缓考</w:t>
            </w:r>
            <w:r>
              <w:rPr>
                <w:color w:val="auto"/>
              </w:rPr>
              <w:tab/>
            </w:r>
            <w:r>
              <w:rPr>
                <w:color w:val="auto"/>
              </w:rPr>
              <w:t>□补考</w:t>
            </w:r>
            <w:r>
              <w:rPr>
                <w:color w:val="auto"/>
              </w:rPr>
              <w:tab/>
            </w:r>
            <w:r>
              <w:rPr>
                <w:color w:val="auto"/>
              </w:rPr>
              <w:t>□重修</w:t>
            </w:r>
          </w:p>
        </w:tc>
      </w:tr>
      <w:tr>
        <w:tblPrEx>
          <w:tblCellMar>
            <w:top w:w="0" w:type="dxa"/>
            <w:left w:w="10" w:type="dxa"/>
            <w:bottom w:w="0" w:type="dxa"/>
            <w:right w:w="10" w:type="dxa"/>
          </w:tblCellMar>
        </w:tblPrEx>
        <w:trPr>
          <w:trHeight w:val="682" w:hRule="exact"/>
          <w:jc w:val="center"/>
        </w:trPr>
        <w:tc>
          <w:tcPr>
            <w:tcW w:w="1123"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color w:val="auto"/>
              </w:rPr>
              <w:t>学生学号</w:t>
            </w:r>
          </w:p>
        </w:tc>
        <w:tc>
          <w:tcPr>
            <w:tcW w:w="1440" w:type="dxa"/>
            <w:tcBorders>
              <w:top w:val="single" w:color="auto" w:sz="4" w:space="0"/>
              <w:left w:val="single" w:color="auto" w:sz="4" w:space="0"/>
            </w:tcBorders>
            <w:shd w:val="clear" w:color="auto" w:fill="FFFFFF"/>
          </w:tcPr>
          <w:p>
            <w:pPr>
              <w:rPr>
                <w:color w:val="auto"/>
                <w:sz w:val="10"/>
                <w:szCs w:val="10"/>
              </w:rPr>
            </w:pPr>
          </w:p>
        </w:tc>
        <w:tc>
          <w:tcPr>
            <w:tcW w:w="1445" w:type="dxa"/>
            <w:tcBorders>
              <w:top w:val="single" w:color="auto" w:sz="4" w:space="0"/>
              <w:left w:val="single" w:color="auto" w:sz="4" w:space="0"/>
            </w:tcBorders>
            <w:shd w:val="clear" w:color="auto" w:fill="FFFFFF"/>
          </w:tcPr>
          <w:p>
            <w:pPr>
              <w:rPr>
                <w:color w:val="auto"/>
                <w:sz w:val="10"/>
                <w:szCs w:val="10"/>
              </w:rPr>
            </w:pPr>
          </w:p>
        </w:tc>
        <w:tc>
          <w:tcPr>
            <w:tcW w:w="1440" w:type="dxa"/>
            <w:tcBorders>
              <w:top w:val="single" w:color="auto" w:sz="4" w:space="0"/>
              <w:left w:val="single" w:color="auto" w:sz="4" w:space="0"/>
            </w:tcBorders>
            <w:shd w:val="clear" w:color="auto" w:fill="FFFFFF"/>
          </w:tcPr>
          <w:p>
            <w:pPr>
              <w:rPr>
                <w:color w:val="auto"/>
                <w:sz w:val="10"/>
                <w:szCs w:val="10"/>
              </w:rPr>
            </w:pPr>
          </w:p>
        </w:tc>
        <w:tc>
          <w:tcPr>
            <w:tcW w:w="1464" w:type="dxa"/>
            <w:gridSpan w:val="2"/>
            <w:tcBorders>
              <w:top w:val="single" w:color="auto" w:sz="4" w:space="0"/>
              <w:left w:val="single" w:color="auto" w:sz="4" w:space="0"/>
            </w:tcBorders>
            <w:shd w:val="clear" w:color="auto" w:fill="FFFFFF"/>
          </w:tcPr>
          <w:p>
            <w:pPr>
              <w:rPr>
                <w:color w:val="auto"/>
                <w:sz w:val="10"/>
                <w:szCs w:val="10"/>
              </w:rPr>
            </w:pPr>
          </w:p>
        </w:tc>
        <w:tc>
          <w:tcPr>
            <w:tcW w:w="1474" w:type="dxa"/>
            <w:gridSpan w:val="2"/>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682" w:hRule="exact"/>
          <w:jc w:val="center"/>
        </w:trPr>
        <w:tc>
          <w:tcPr>
            <w:tcW w:w="1123"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color w:val="auto"/>
              </w:rPr>
              <w:t>学生姓名</w:t>
            </w:r>
          </w:p>
        </w:tc>
        <w:tc>
          <w:tcPr>
            <w:tcW w:w="1440" w:type="dxa"/>
            <w:tcBorders>
              <w:top w:val="single" w:color="auto" w:sz="4" w:space="0"/>
              <w:left w:val="single" w:color="auto" w:sz="4" w:space="0"/>
            </w:tcBorders>
            <w:shd w:val="clear" w:color="auto" w:fill="FFFFFF"/>
          </w:tcPr>
          <w:p>
            <w:pPr>
              <w:rPr>
                <w:color w:val="auto"/>
                <w:sz w:val="10"/>
                <w:szCs w:val="10"/>
              </w:rPr>
            </w:pPr>
          </w:p>
        </w:tc>
        <w:tc>
          <w:tcPr>
            <w:tcW w:w="1445" w:type="dxa"/>
            <w:tcBorders>
              <w:top w:val="single" w:color="auto" w:sz="4" w:space="0"/>
              <w:left w:val="single" w:color="auto" w:sz="4" w:space="0"/>
            </w:tcBorders>
            <w:shd w:val="clear" w:color="auto" w:fill="FFFFFF"/>
          </w:tcPr>
          <w:p>
            <w:pPr>
              <w:rPr>
                <w:color w:val="auto"/>
                <w:sz w:val="10"/>
                <w:szCs w:val="10"/>
              </w:rPr>
            </w:pPr>
          </w:p>
        </w:tc>
        <w:tc>
          <w:tcPr>
            <w:tcW w:w="1440" w:type="dxa"/>
            <w:tcBorders>
              <w:top w:val="single" w:color="auto" w:sz="4" w:space="0"/>
              <w:left w:val="single" w:color="auto" w:sz="4" w:space="0"/>
            </w:tcBorders>
            <w:shd w:val="clear" w:color="auto" w:fill="FFFFFF"/>
          </w:tcPr>
          <w:p>
            <w:pPr>
              <w:rPr>
                <w:color w:val="auto"/>
                <w:sz w:val="10"/>
                <w:szCs w:val="10"/>
              </w:rPr>
            </w:pPr>
          </w:p>
        </w:tc>
        <w:tc>
          <w:tcPr>
            <w:tcW w:w="1464" w:type="dxa"/>
            <w:gridSpan w:val="2"/>
            <w:tcBorders>
              <w:top w:val="single" w:color="auto" w:sz="4" w:space="0"/>
              <w:left w:val="single" w:color="auto" w:sz="4" w:space="0"/>
            </w:tcBorders>
            <w:shd w:val="clear" w:color="auto" w:fill="FFFFFF"/>
          </w:tcPr>
          <w:p>
            <w:pPr>
              <w:rPr>
                <w:color w:val="auto"/>
                <w:sz w:val="10"/>
                <w:szCs w:val="10"/>
              </w:rPr>
            </w:pPr>
          </w:p>
        </w:tc>
        <w:tc>
          <w:tcPr>
            <w:tcW w:w="1474" w:type="dxa"/>
            <w:gridSpan w:val="2"/>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677" w:hRule="exact"/>
          <w:jc w:val="center"/>
        </w:trPr>
        <w:tc>
          <w:tcPr>
            <w:tcW w:w="11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原登记成绩</w:t>
            </w:r>
          </w:p>
        </w:tc>
        <w:tc>
          <w:tcPr>
            <w:tcW w:w="1440" w:type="dxa"/>
            <w:tcBorders>
              <w:top w:val="single" w:color="auto" w:sz="4" w:space="0"/>
              <w:left w:val="single" w:color="auto" w:sz="4" w:space="0"/>
            </w:tcBorders>
            <w:shd w:val="clear" w:color="auto" w:fill="FFFFFF"/>
          </w:tcPr>
          <w:p>
            <w:pPr>
              <w:rPr>
                <w:color w:val="auto"/>
                <w:sz w:val="10"/>
                <w:szCs w:val="10"/>
              </w:rPr>
            </w:pPr>
          </w:p>
        </w:tc>
        <w:tc>
          <w:tcPr>
            <w:tcW w:w="1445" w:type="dxa"/>
            <w:tcBorders>
              <w:top w:val="single" w:color="auto" w:sz="4" w:space="0"/>
              <w:left w:val="single" w:color="auto" w:sz="4" w:space="0"/>
            </w:tcBorders>
            <w:shd w:val="clear" w:color="auto" w:fill="FFFFFF"/>
          </w:tcPr>
          <w:p>
            <w:pPr>
              <w:rPr>
                <w:color w:val="auto"/>
                <w:sz w:val="10"/>
                <w:szCs w:val="10"/>
              </w:rPr>
            </w:pPr>
          </w:p>
        </w:tc>
        <w:tc>
          <w:tcPr>
            <w:tcW w:w="1440" w:type="dxa"/>
            <w:tcBorders>
              <w:top w:val="single" w:color="auto" w:sz="4" w:space="0"/>
              <w:left w:val="single" w:color="auto" w:sz="4" w:space="0"/>
            </w:tcBorders>
            <w:shd w:val="clear" w:color="auto" w:fill="FFFFFF"/>
          </w:tcPr>
          <w:p>
            <w:pPr>
              <w:rPr>
                <w:color w:val="auto"/>
                <w:sz w:val="10"/>
                <w:szCs w:val="10"/>
              </w:rPr>
            </w:pPr>
          </w:p>
        </w:tc>
        <w:tc>
          <w:tcPr>
            <w:tcW w:w="1464" w:type="dxa"/>
            <w:gridSpan w:val="2"/>
            <w:tcBorders>
              <w:top w:val="single" w:color="auto" w:sz="4" w:space="0"/>
              <w:left w:val="single" w:color="auto" w:sz="4" w:space="0"/>
            </w:tcBorders>
            <w:shd w:val="clear" w:color="auto" w:fill="FFFFFF"/>
          </w:tcPr>
          <w:p>
            <w:pPr>
              <w:rPr>
                <w:color w:val="auto"/>
                <w:sz w:val="10"/>
                <w:szCs w:val="10"/>
              </w:rPr>
            </w:pPr>
          </w:p>
        </w:tc>
        <w:tc>
          <w:tcPr>
            <w:tcW w:w="1474" w:type="dxa"/>
            <w:gridSpan w:val="2"/>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682" w:hRule="exact"/>
          <w:jc w:val="center"/>
        </w:trPr>
        <w:tc>
          <w:tcPr>
            <w:tcW w:w="1123" w:type="dxa"/>
            <w:tcBorders>
              <w:top w:val="single" w:color="auto" w:sz="4" w:space="0"/>
              <w:left w:val="single" w:color="auto" w:sz="4" w:space="0"/>
            </w:tcBorders>
            <w:shd w:val="clear" w:color="auto" w:fill="FFFFFF"/>
            <w:vAlign w:val="center"/>
          </w:tcPr>
          <w:p>
            <w:pPr>
              <w:pStyle w:val="20"/>
              <w:spacing w:line="278" w:lineRule="exact"/>
              <w:ind w:firstLine="0"/>
              <w:jc w:val="center"/>
              <w:rPr>
                <w:color w:val="auto"/>
              </w:rPr>
            </w:pPr>
            <w:r>
              <w:rPr>
                <w:color w:val="auto"/>
              </w:rPr>
              <w:t>补登或更改后成绩</w:t>
            </w:r>
          </w:p>
        </w:tc>
        <w:tc>
          <w:tcPr>
            <w:tcW w:w="1440" w:type="dxa"/>
            <w:tcBorders>
              <w:top w:val="single" w:color="auto" w:sz="4" w:space="0"/>
              <w:left w:val="single" w:color="auto" w:sz="4" w:space="0"/>
            </w:tcBorders>
            <w:shd w:val="clear" w:color="auto" w:fill="FFFFFF"/>
          </w:tcPr>
          <w:p>
            <w:pPr>
              <w:rPr>
                <w:color w:val="auto"/>
                <w:sz w:val="10"/>
                <w:szCs w:val="10"/>
              </w:rPr>
            </w:pPr>
          </w:p>
        </w:tc>
        <w:tc>
          <w:tcPr>
            <w:tcW w:w="1445" w:type="dxa"/>
            <w:tcBorders>
              <w:top w:val="single" w:color="auto" w:sz="4" w:space="0"/>
              <w:left w:val="single" w:color="auto" w:sz="4" w:space="0"/>
            </w:tcBorders>
            <w:shd w:val="clear" w:color="auto" w:fill="FFFFFF"/>
          </w:tcPr>
          <w:p>
            <w:pPr>
              <w:rPr>
                <w:color w:val="auto"/>
                <w:sz w:val="10"/>
                <w:szCs w:val="10"/>
              </w:rPr>
            </w:pPr>
          </w:p>
        </w:tc>
        <w:tc>
          <w:tcPr>
            <w:tcW w:w="1440" w:type="dxa"/>
            <w:tcBorders>
              <w:top w:val="single" w:color="auto" w:sz="4" w:space="0"/>
              <w:left w:val="single" w:color="auto" w:sz="4" w:space="0"/>
            </w:tcBorders>
            <w:shd w:val="clear" w:color="auto" w:fill="FFFFFF"/>
          </w:tcPr>
          <w:p>
            <w:pPr>
              <w:rPr>
                <w:color w:val="auto"/>
                <w:sz w:val="10"/>
                <w:szCs w:val="10"/>
              </w:rPr>
            </w:pPr>
          </w:p>
        </w:tc>
        <w:tc>
          <w:tcPr>
            <w:tcW w:w="1464" w:type="dxa"/>
            <w:gridSpan w:val="2"/>
            <w:tcBorders>
              <w:top w:val="single" w:color="auto" w:sz="4" w:space="0"/>
              <w:left w:val="single" w:color="auto" w:sz="4" w:space="0"/>
            </w:tcBorders>
            <w:shd w:val="clear" w:color="auto" w:fill="FFFFFF"/>
          </w:tcPr>
          <w:p>
            <w:pPr>
              <w:rPr>
                <w:color w:val="auto"/>
                <w:sz w:val="10"/>
                <w:szCs w:val="10"/>
              </w:rPr>
            </w:pPr>
          </w:p>
        </w:tc>
        <w:tc>
          <w:tcPr>
            <w:tcW w:w="1474" w:type="dxa"/>
            <w:gridSpan w:val="2"/>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682" w:hRule="exact"/>
          <w:jc w:val="center"/>
        </w:trPr>
        <w:tc>
          <w:tcPr>
            <w:tcW w:w="1123"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color w:val="auto"/>
              </w:rPr>
              <w:t>申请理由</w:t>
            </w:r>
          </w:p>
        </w:tc>
        <w:tc>
          <w:tcPr>
            <w:tcW w:w="1440" w:type="dxa"/>
            <w:tcBorders>
              <w:top w:val="single" w:color="auto" w:sz="4" w:space="0"/>
              <w:left w:val="single" w:color="auto" w:sz="4" w:space="0"/>
            </w:tcBorders>
            <w:shd w:val="clear" w:color="auto" w:fill="FFFFFF"/>
          </w:tcPr>
          <w:p>
            <w:pPr>
              <w:rPr>
                <w:color w:val="auto"/>
                <w:sz w:val="10"/>
                <w:szCs w:val="10"/>
              </w:rPr>
            </w:pPr>
          </w:p>
        </w:tc>
        <w:tc>
          <w:tcPr>
            <w:tcW w:w="1445" w:type="dxa"/>
            <w:tcBorders>
              <w:top w:val="single" w:color="auto" w:sz="4" w:space="0"/>
              <w:left w:val="single" w:color="auto" w:sz="4" w:space="0"/>
            </w:tcBorders>
            <w:shd w:val="clear" w:color="auto" w:fill="FFFFFF"/>
          </w:tcPr>
          <w:p>
            <w:pPr>
              <w:rPr>
                <w:color w:val="auto"/>
                <w:sz w:val="10"/>
                <w:szCs w:val="10"/>
              </w:rPr>
            </w:pPr>
          </w:p>
        </w:tc>
        <w:tc>
          <w:tcPr>
            <w:tcW w:w="1440" w:type="dxa"/>
            <w:tcBorders>
              <w:top w:val="single" w:color="auto" w:sz="4" w:space="0"/>
              <w:left w:val="single" w:color="auto" w:sz="4" w:space="0"/>
            </w:tcBorders>
            <w:shd w:val="clear" w:color="auto" w:fill="FFFFFF"/>
          </w:tcPr>
          <w:p>
            <w:pPr>
              <w:rPr>
                <w:color w:val="auto"/>
                <w:sz w:val="10"/>
                <w:szCs w:val="10"/>
              </w:rPr>
            </w:pPr>
          </w:p>
        </w:tc>
        <w:tc>
          <w:tcPr>
            <w:tcW w:w="1464" w:type="dxa"/>
            <w:gridSpan w:val="2"/>
            <w:tcBorders>
              <w:top w:val="single" w:color="auto" w:sz="4" w:space="0"/>
              <w:left w:val="single" w:color="auto" w:sz="4" w:space="0"/>
            </w:tcBorders>
            <w:shd w:val="clear" w:color="auto" w:fill="FFFFFF"/>
          </w:tcPr>
          <w:p>
            <w:pPr>
              <w:rPr>
                <w:color w:val="auto"/>
                <w:sz w:val="10"/>
                <w:szCs w:val="10"/>
              </w:rPr>
            </w:pPr>
          </w:p>
        </w:tc>
        <w:tc>
          <w:tcPr>
            <w:tcW w:w="1474" w:type="dxa"/>
            <w:gridSpan w:val="2"/>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682" w:hRule="exact"/>
          <w:jc w:val="center"/>
        </w:trPr>
        <w:tc>
          <w:tcPr>
            <w:tcW w:w="11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证明人</w:t>
            </w:r>
          </w:p>
        </w:tc>
        <w:tc>
          <w:tcPr>
            <w:tcW w:w="1440" w:type="dxa"/>
            <w:tcBorders>
              <w:top w:val="single" w:color="auto" w:sz="4" w:space="0"/>
              <w:left w:val="single" w:color="auto" w:sz="4" w:space="0"/>
            </w:tcBorders>
            <w:shd w:val="clear" w:color="auto" w:fill="FFFFFF"/>
          </w:tcPr>
          <w:p>
            <w:pPr>
              <w:rPr>
                <w:color w:val="auto"/>
                <w:sz w:val="10"/>
                <w:szCs w:val="10"/>
              </w:rPr>
            </w:pPr>
          </w:p>
        </w:tc>
        <w:tc>
          <w:tcPr>
            <w:tcW w:w="1445" w:type="dxa"/>
            <w:tcBorders>
              <w:top w:val="single" w:color="auto" w:sz="4" w:space="0"/>
              <w:left w:val="single" w:color="auto" w:sz="4" w:space="0"/>
            </w:tcBorders>
            <w:shd w:val="clear" w:color="auto" w:fill="FFFFFF"/>
          </w:tcPr>
          <w:p>
            <w:pPr>
              <w:rPr>
                <w:color w:val="auto"/>
                <w:sz w:val="10"/>
                <w:szCs w:val="10"/>
              </w:rPr>
            </w:pPr>
          </w:p>
        </w:tc>
        <w:tc>
          <w:tcPr>
            <w:tcW w:w="1440"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课程序号</w:t>
            </w:r>
          </w:p>
        </w:tc>
        <w:tc>
          <w:tcPr>
            <w:tcW w:w="2938" w:type="dxa"/>
            <w:gridSpan w:val="4"/>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1699" w:hRule="exact"/>
          <w:jc w:val="center"/>
        </w:trPr>
        <w:tc>
          <w:tcPr>
            <w:tcW w:w="1123" w:type="dxa"/>
            <w:tcBorders>
              <w:top w:val="single" w:color="auto" w:sz="4" w:space="0"/>
              <w:left w:val="single" w:color="auto" w:sz="4" w:space="0"/>
            </w:tcBorders>
            <w:shd w:val="clear" w:color="auto" w:fill="FFFFFF"/>
            <w:vAlign w:val="center"/>
          </w:tcPr>
          <w:p>
            <w:pPr>
              <w:pStyle w:val="20"/>
              <w:spacing w:line="269" w:lineRule="exact"/>
              <w:ind w:firstLine="0"/>
              <w:jc w:val="center"/>
              <w:rPr>
                <w:color w:val="auto"/>
              </w:rPr>
            </w:pPr>
            <w:r>
              <w:rPr>
                <w:color w:val="auto"/>
              </w:rPr>
              <w:t>学院院长意见</w:t>
            </w:r>
          </w:p>
        </w:tc>
        <w:tc>
          <w:tcPr>
            <w:tcW w:w="7263" w:type="dxa"/>
            <w:gridSpan w:val="7"/>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1709" w:hRule="exact"/>
          <w:jc w:val="center"/>
        </w:trPr>
        <w:tc>
          <w:tcPr>
            <w:tcW w:w="1123" w:type="dxa"/>
            <w:tcBorders>
              <w:top w:val="single" w:color="auto" w:sz="4" w:space="0"/>
              <w:left w:val="single" w:color="auto" w:sz="4" w:space="0"/>
              <w:bottom w:val="single" w:color="auto" w:sz="4" w:space="0"/>
            </w:tcBorders>
            <w:shd w:val="clear" w:color="auto" w:fill="FFFFFF"/>
            <w:vAlign w:val="center"/>
          </w:tcPr>
          <w:p>
            <w:pPr>
              <w:pStyle w:val="20"/>
              <w:spacing w:line="283" w:lineRule="exact"/>
              <w:ind w:firstLine="0"/>
              <w:jc w:val="center"/>
              <w:rPr>
                <w:color w:val="auto"/>
              </w:rPr>
            </w:pPr>
            <w:r>
              <w:rPr>
                <w:color w:val="auto"/>
              </w:rPr>
              <w:t>教学科研处成绩监章</w:t>
            </w:r>
          </w:p>
        </w:tc>
        <w:tc>
          <w:tcPr>
            <w:tcW w:w="2885" w:type="dxa"/>
            <w:gridSpan w:val="2"/>
            <w:tcBorders>
              <w:top w:val="single" w:color="auto" w:sz="4" w:space="0"/>
              <w:left w:val="single" w:color="auto" w:sz="4" w:space="0"/>
              <w:bottom w:val="single" w:color="auto" w:sz="4" w:space="0"/>
            </w:tcBorders>
            <w:shd w:val="clear" w:color="auto" w:fill="FFFFFF"/>
          </w:tcPr>
          <w:p>
            <w:pPr>
              <w:rPr>
                <w:color w:val="auto"/>
                <w:sz w:val="10"/>
                <w:szCs w:val="10"/>
              </w:rPr>
            </w:pPr>
          </w:p>
        </w:tc>
        <w:tc>
          <w:tcPr>
            <w:tcW w:w="437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after="900" w:line="240" w:lineRule="auto"/>
              <w:ind w:firstLine="180"/>
              <w:rPr>
                <w:color w:val="auto"/>
              </w:rPr>
            </w:pPr>
            <w:r>
              <w:rPr>
                <w:color w:val="auto"/>
              </w:rPr>
              <w:t>申请教师：</w:t>
            </w:r>
          </w:p>
          <w:p>
            <w:pPr>
              <w:pStyle w:val="20"/>
              <w:spacing w:line="240" w:lineRule="auto"/>
              <w:ind w:left="2920" w:firstLine="0"/>
              <w:rPr>
                <w:color w:val="auto"/>
              </w:rPr>
            </w:pPr>
            <w:r>
              <w:rPr>
                <w:color w:val="auto"/>
              </w:rPr>
              <w:t>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tc>
      </w:tr>
    </w:tbl>
    <w:p>
      <w:pPr>
        <w:spacing w:after="99" w:line="1" w:lineRule="exact"/>
        <w:rPr>
          <w:color w:val="auto"/>
        </w:rPr>
      </w:pPr>
    </w:p>
    <w:p>
      <w:pPr>
        <w:pStyle w:val="14"/>
        <w:spacing w:after="140" w:line="293" w:lineRule="exact"/>
        <w:ind w:firstLine="0"/>
        <w:rPr>
          <w:rFonts w:eastAsia="PMingLiU"/>
          <w:color w:val="auto"/>
          <w:sz w:val="17"/>
          <w:szCs w:val="17"/>
        </w:rPr>
      </w:pPr>
      <w:r>
        <w:rPr>
          <w:color w:val="auto"/>
          <w:sz w:val="17"/>
          <w:szCs w:val="17"/>
        </w:rPr>
        <w:t>说明</w:t>
      </w:r>
      <w:r>
        <w:rPr>
          <w:rFonts w:hint="eastAsia"/>
          <w:color w:val="auto"/>
          <w:sz w:val="17"/>
          <w:szCs w:val="17"/>
        </w:rPr>
        <w:t>：</w:t>
      </w:r>
      <w:r>
        <w:rPr>
          <w:color w:val="auto"/>
          <w:sz w:val="17"/>
          <w:szCs w:val="17"/>
        </w:rPr>
        <w:t>①需补登、更改成绩的教师，将此表各项填写完成后，交成绩登录的教务人员；</w:t>
      </w:r>
    </w:p>
    <w:p>
      <w:pPr>
        <w:pStyle w:val="14"/>
        <w:spacing w:after="140" w:line="293" w:lineRule="exact"/>
        <w:ind w:left="200" w:leftChars="100" w:firstLine="340" w:firstLineChars="200"/>
        <w:rPr>
          <w:color w:val="auto"/>
          <w:sz w:val="17"/>
          <w:szCs w:val="17"/>
        </w:rPr>
      </w:pPr>
      <w:r>
        <w:rPr>
          <w:color w:val="auto"/>
          <w:sz w:val="17"/>
          <w:szCs w:val="17"/>
        </w:rPr>
        <w:t>②此表须与学生班级该课程考试或补考、重修原始成绩装订、存档。</w:t>
      </w:r>
    </w:p>
    <w:p>
      <w:pPr>
        <w:pStyle w:val="14"/>
        <w:spacing w:after="140" w:line="293" w:lineRule="exact"/>
        <w:ind w:left="200" w:leftChars="100" w:firstLine="340" w:firstLineChars="200"/>
        <w:rPr>
          <w:color w:val="auto"/>
          <w:sz w:val="17"/>
          <w:szCs w:val="17"/>
        </w:rPr>
      </w:pPr>
    </w:p>
    <w:p>
      <w:pPr>
        <w:pStyle w:val="14"/>
        <w:spacing w:after="140" w:line="293" w:lineRule="exact"/>
        <w:ind w:left="200" w:leftChars="100" w:firstLine="340" w:firstLineChars="200"/>
        <w:rPr>
          <w:color w:val="auto"/>
          <w:sz w:val="17"/>
          <w:szCs w:val="17"/>
        </w:rPr>
      </w:pPr>
    </w:p>
    <w:p>
      <w:pPr>
        <w:pStyle w:val="14"/>
        <w:spacing w:after="140" w:line="293" w:lineRule="exact"/>
        <w:ind w:left="200" w:leftChars="100" w:firstLine="340" w:firstLineChars="200"/>
        <w:rPr>
          <w:color w:val="auto"/>
          <w:sz w:val="17"/>
          <w:szCs w:val="17"/>
        </w:rPr>
      </w:pPr>
    </w:p>
    <w:p>
      <w:pPr>
        <w:pStyle w:val="14"/>
        <w:spacing w:after="80" w:line="595" w:lineRule="exact"/>
        <w:ind w:firstLine="0"/>
        <w:jc w:val="center"/>
        <w:rPr>
          <w:color w:val="auto"/>
          <w:sz w:val="38"/>
          <w:szCs w:val="38"/>
        </w:rPr>
      </w:pPr>
      <w:r>
        <w:rPr>
          <w:rFonts w:hint="eastAsia"/>
          <w:color w:val="auto"/>
          <w:sz w:val="38"/>
          <w:szCs w:val="38"/>
        </w:rPr>
        <w:t>南京航空航天大学金城学院</w:t>
      </w:r>
    </w:p>
    <w:p>
      <w:pPr>
        <w:pStyle w:val="14"/>
        <w:spacing w:after="80" w:line="595" w:lineRule="exact"/>
        <w:ind w:firstLine="0"/>
        <w:jc w:val="center"/>
        <w:rPr>
          <w:color w:val="auto"/>
          <w:sz w:val="38"/>
          <w:szCs w:val="38"/>
        </w:rPr>
      </w:pPr>
      <w:r>
        <w:rPr>
          <w:rFonts w:hint="eastAsia"/>
          <w:color w:val="auto"/>
          <w:sz w:val="38"/>
          <w:szCs w:val="38"/>
        </w:rPr>
        <w:t>学业预警工作管理办法（试行）</w:t>
      </w:r>
    </w:p>
    <w:p>
      <w:pPr>
        <w:pStyle w:val="14"/>
        <w:spacing w:after="140" w:line="293" w:lineRule="exact"/>
        <w:ind w:left="200" w:leftChars="100" w:firstLine="340" w:firstLineChars="200"/>
        <w:rPr>
          <w:color w:val="auto"/>
          <w:sz w:val="17"/>
          <w:szCs w:val="17"/>
        </w:rPr>
      </w:pPr>
    </w:p>
    <w:p>
      <w:pPr>
        <w:pStyle w:val="14"/>
        <w:spacing w:after="140" w:line="293" w:lineRule="exact"/>
        <w:ind w:left="200" w:leftChars="100" w:firstLine="360" w:firstLineChars="200"/>
        <w:rPr>
          <w:color w:val="auto"/>
        </w:rPr>
      </w:pPr>
      <w:r>
        <w:rPr>
          <w:rFonts w:hint="eastAsia"/>
          <w:color w:val="auto"/>
        </w:rPr>
        <w:t>为进一步加强我校学生的学业管理，深化对学生学业的指导，推进学风建设，通过学校、学生及家长三方的沟通合作，帮助学生顺利完成学业，保障教育教学和人才培养质量，特制定本办法。</w:t>
      </w:r>
    </w:p>
    <w:p>
      <w:pPr>
        <w:pStyle w:val="14"/>
        <w:spacing w:after="140" w:line="293" w:lineRule="exact"/>
        <w:ind w:left="200" w:leftChars="100" w:firstLine="360" w:firstLineChars="200"/>
        <w:rPr>
          <w:color w:val="auto"/>
        </w:rPr>
      </w:pPr>
      <w:r>
        <w:rPr>
          <w:rFonts w:hint="eastAsia"/>
          <w:color w:val="auto"/>
        </w:rPr>
        <w:t>第一条 学业预警是指学校依据《南京航空航天大学金城学院本科生学籍管理办法》和各专业培养计划的要求，对学生可能或已经发生的学习问题和学业困难进行警示，并有针对性地采取相应的补救和防范措施，帮助学生完成学业的一种危机干预制度。</w:t>
      </w:r>
    </w:p>
    <w:p>
      <w:pPr>
        <w:pStyle w:val="14"/>
        <w:spacing w:after="140" w:line="293" w:lineRule="exact"/>
        <w:ind w:left="200" w:leftChars="100" w:firstLine="360" w:firstLineChars="200"/>
        <w:rPr>
          <w:color w:val="auto"/>
        </w:rPr>
      </w:pPr>
      <w:r>
        <w:rPr>
          <w:rFonts w:hint="eastAsia"/>
          <w:color w:val="auto"/>
        </w:rPr>
        <w:t>第二条 本办法适用于南京航空航天大学金城学院全日制学生。</w:t>
      </w:r>
    </w:p>
    <w:p>
      <w:pPr>
        <w:pStyle w:val="14"/>
        <w:spacing w:after="140" w:line="293" w:lineRule="exact"/>
        <w:ind w:left="200" w:leftChars="100" w:firstLine="360" w:firstLineChars="200"/>
        <w:rPr>
          <w:color w:val="auto"/>
        </w:rPr>
      </w:pPr>
      <w:r>
        <w:rPr>
          <w:rFonts w:hint="eastAsia"/>
          <w:color w:val="auto"/>
        </w:rPr>
        <w:t>第三条 学业预警分为黄色预警，橙色预警，红色预警和退学警示四个等级（见下表）。</w:t>
      </w:r>
    </w:p>
    <w:tbl>
      <w:tblPr>
        <w:tblStyle w:val="7"/>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0"/>
        <w:gridCol w:w="6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930" w:type="dxa"/>
          </w:tcPr>
          <w:p>
            <w:pPr>
              <w:pStyle w:val="14"/>
              <w:spacing w:after="140" w:line="293" w:lineRule="exact"/>
              <w:ind w:firstLine="0"/>
              <w:jc w:val="center"/>
              <w:rPr>
                <w:color w:val="auto"/>
              </w:rPr>
            </w:pPr>
            <w:r>
              <w:rPr>
                <w:rFonts w:hint="eastAsia"/>
                <w:color w:val="auto"/>
              </w:rPr>
              <w:t>级别</w:t>
            </w:r>
          </w:p>
        </w:tc>
        <w:tc>
          <w:tcPr>
            <w:tcW w:w="6488" w:type="dxa"/>
          </w:tcPr>
          <w:p>
            <w:pPr>
              <w:pStyle w:val="14"/>
              <w:spacing w:after="140" w:line="293" w:lineRule="exact"/>
              <w:ind w:firstLine="0"/>
              <w:jc w:val="center"/>
              <w:rPr>
                <w:color w:val="auto"/>
              </w:rPr>
            </w:pPr>
            <w:r>
              <w:rPr>
                <w:rFonts w:hint="eastAsia"/>
                <w:color w:val="auto"/>
              </w:rPr>
              <w:t>出现情况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930" w:type="dxa"/>
            <w:vAlign w:val="center"/>
          </w:tcPr>
          <w:p>
            <w:pPr>
              <w:pStyle w:val="14"/>
              <w:spacing w:after="140" w:line="293" w:lineRule="exact"/>
              <w:ind w:firstLine="0"/>
              <w:jc w:val="center"/>
              <w:rPr>
                <w:color w:val="auto"/>
              </w:rPr>
            </w:pPr>
            <w:r>
              <w:rPr>
                <w:rFonts w:hint="eastAsia"/>
                <w:color w:val="auto"/>
              </w:rPr>
              <w:t>黄色预警</w:t>
            </w:r>
          </w:p>
        </w:tc>
        <w:tc>
          <w:tcPr>
            <w:tcW w:w="6488" w:type="dxa"/>
          </w:tcPr>
          <w:p>
            <w:pPr>
              <w:pStyle w:val="14"/>
              <w:spacing w:after="140" w:line="293" w:lineRule="exact"/>
              <w:ind w:firstLine="0"/>
              <w:jc w:val="center"/>
              <w:rPr>
                <w:color w:val="auto"/>
              </w:rPr>
            </w:pPr>
            <w:r>
              <w:rPr>
                <w:rFonts w:hint="eastAsia"/>
                <w:color w:val="auto"/>
              </w:rPr>
              <w:t>本科不及格课程学分累计≥14学分</w:t>
            </w:r>
          </w:p>
          <w:p>
            <w:pPr>
              <w:pStyle w:val="14"/>
              <w:spacing w:after="140" w:line="293" w:lineRule="exact"/>
              <w:ind w:firstLine="0"/>
              <w:jc w:val="center"/>
              <w:rPr>
                <w:color w:val="auto"/>
              </w:rPr>
            </w:pPr>
            <w:r>
              <w:rPr>
                <w:rFonts w:hint="eastAsia"/>
                <w:color w:val="auto"/>
              </w:rPr>
              <w:t>专转本不及格课程学分累计≥8学分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0" w:type="dxa"/>
            <w:vAlign w:val="center"/>
          </w:tcPr>
          <w:p>
            <w:pPr>
              <w:pStyle w:val="14"/>
              <w:spacing w:after="140" w:line="293" w:lineRule="exact"/>
              <w:ind w:firstLine="0"/>
              <w:jc w:val="center"/>
              <w:rPr>
                <w:color w:val="auto"/>
              </w:rPr>
            </w:pPr>
            <w:r>
              <w:rPr>
                <w:rFonts w:hint="eastAsia"/>
                <w:color w:val="auto"/>
              </w:rPr>
              <w:t>橙色预警</w:t>
            </w:r>
          </w:p>
        </w:tc>
        <w:tc>
          <w:tcPr>
            <w:tcW w:w="6488" w:type="dxa"/>
          </w:tcPr>
          <w:p>
            <w:pPr>
              <w:pStyle w:val="14"/>
              <w:spacing w:after="140" w:line="293" w:lineRule="exact"/>
              <w:ind w:firstLine="0"/>
              <w:jc w:val="center"/>
              <w:rPr>
                <w:color w:val="auto"/>
              </w:rPr>
            </w:pPr>
            <w:r>
              <w:rPr>
                <w:rFonts w:hint="eastAsia"/>
                <w:color w:val="auto"/>
              </w:rPr>
              <w:t>本科不及格课程学分累计≥20学分</w:t>
            </w:r>
          </w:p>
          <w:p>
            <w:pPr>
              <w:pStyle w:val="14"/>
              <w:spacing w:after="140" w:line="293" w:lineRule="exact"/>
              <w:ind w:firstLine="0"/>
              <w:jc w:val="center"/>
              <w:rPr>
                <w:color w:val="auto"/>
              </w:rPr>
            </w:pPr>
            <w:r>
              <w:rPr>
                <w:rFonts w:hint="eastAsia"/>
                <w:color w:val="auto"/>
              </w:rPr>
              <w:t>专转本不及格课程学分累计≥13学分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0" w:type="dxa"/>
            <w:vAlign w:val="center"/>
          </w:tcPr>
          <w:p>
            <w:pPr>
              <w:pStyle w:val="14"/>
              <w:spacing w:after="140" w:line="293" w:lineRule="exact"/>
              <w:ind w:firstLine="0"/>
              <w:jc w:val="center"/>
              <w:rPr>
                <w:color w:val="auto"/>
              </w:rPr>
            </w:pPr>
            <w:r>
              <w:rPr>
                <w:rFonts w:hint="eastAsia"/>
                <w:color w:val="auto"/>
              </w:rPr>
              <w:t>红色预警</w:t>
            </w:r>
          </w:p>
        </w:tc>
        <w:tc>
          <w:tcPr>
            <w:tcW w:w="6488" w:type="dxa"/>
          </w:tcPr>
          <w:p>
            <w:pPr>
              <w:pStyle w:val="14"/>
              <w:spacing w:after="140" w:line="293" w:lineRule="exact"/>
              <w:ind w:firstLine="0"/>
              <w:jc w:val="center"/>
              <w:rPr>
                <w:color w:val="auto"/>
              </w:rPr>
            </w:pPr>
            <w:r>
              <w:rPr>
                <w:rFonts w:hint="eastAsia"/>
                <w:color w:val="auto"/>
              </w:rPr>
              <w:t>本科不及格课程学分累计≥30学分</w:t>
            </w:r>
          </w:p>
          <w:p>
            <w:pPr>
              <w:pStyle w:val="14"/>
              <w:spacing w:after="140" w:line="293" w:lineRule="exact"/>
              <w:ind w:firstLine="0"/>
              <w:jc w:val="center"/>
              <w:rPr>
                <w:color w:val="auto"/>
              </w:rPr>
            </w:pPr>
            <w:r>
              <w:rPr>
                <w:rFonts w:hint="eastAsia"/>
                <w:color w:val="auto"/>
              </w:rPr>
              <w:t>专转本不及格课程学分累计≥18学分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0" w:type="dxa"/>
            <w:vAlign w:val="center"/>
          </w:tcPr>
          <w:p>
            <w:pPr>
              <w:pStyle w:val="14"/>
              <w:spacing w:after="140" w:line="293" w:lineRule="exact"/>
              <w:ind w:firstLine="0"/>
              <w:jc w:val="center"/>
              <w:rPr>
                <w:color w:val="auto"/>
              </w:rPr>
            </w:pPr>
            <w:r>
              <w:rPr>
                <w:rFonts w:hint="eastAsia"/>
                <w:color w:val="auto"/>
              </w:rPr>
              <w:t>退学警示</w:t>
            </w:r>
          </w:p>
        </w:tc>
        <w:tc>
          <w:tcPr>
            <w:tcW w:w="6488" w:type="dxa"/>
          </w:tcPr>
          <w:p>
            <w:pPr>
              <w:pStyle w:val="14"/>
              <w:spacing w:after="140" w:line="293" w:lineRule="exact"/>
              <w:ind w:firstLine="0"/>
              <w:jc w:val="center"/>
              <w:rPr>
                <w:color w:val="auto"/>
              </w:rPr>
            </w:pPr>
            <w:r>
              <w:rPr>
                <w:rFonts w:hint="eastAsia"/>
                <w:color w:val="auto"/>
              </w:rPr>
              <w:t>第一学年本科取得总学分数不足25学分，专转本不足30学分；</w:t>
            </w:r>
          </w:p>
          <w:p>
            <w:pPr>
              <w:pStyle w:val="14"/>
              <w:spacing w:after="140" w:line="293" w:lineRule="exact"/>
              <w:ind w:firstLine="0"/>
              <w:jc w:val="center"/>
              <w:rPr>
                <w:color w:val="auto"/>
              </w:rPr>
            </w:pPr>
            <w:r>
              <w:rPr>
                <w:rFonts w:hint="eastAsia"/>
                <w:color w:val="auto"/>
              </w:rPr>
              <w:t>前二学年本科取得总学分数不足60学分，专转本不足70学分；</w:t>
            </w:r>
          </w:p>
          <w:p>
            <w:pPr>
              <w:pStyle w:val="14"/>
              <w:spacing w:after="140" w:line="293" w:lineRule="exact"/>
              <w:ind w:firstLine="0"/>
              <w:jc w:val="center"/>
              <w:rPr>
                <w:color w:val="auto"/>
              </w:rPr>
            </w:pPr>
            <w:r>
              <w:rPr>
                <w:rFonts w:hint="eastAsia"/>
                <w:color w:val="auto"/>
              </w:rPr>
              <w:t>前三学年本科取得总学分数不足110学分。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8" w:type="dxa"/>
            <w:gridSpan w:val="2"/>
          </w:tcPr>
          <w:p>
            <w:pPr>
              <w:pStyle w:val="14"/>
              <w:spacing w:after="140" w:line="293" w:lineRule="exact"/>
              <w:ind w:left="200" w:leftChars="100" w:firstLine="360" w:firstLineChars="200"/>
              <w:jc w:val="left"/>
              <w:rPr>
                <w:color w:val="auto"/>
              </w:rPr>
            </w:pPr>
            <w:r>
              <w:rPr>
                <w:rFonts w:hint="eastAsia"/>
                <w:color w:val="auto"/>
              </w:rPr>
              <w:t>注：黄色预警、橙色预警、红色预警每学期开展一次，退学警示每学年开展一次。</w:t>
            </w:r>
          </w:p>
        </w:tc>
      </w:tr>
    </w:tbl>
    <w:p>
      <w:pPr>
        <w:pStyle w:val="14"/>
        <w:spacing w:after="140" w:line="293" w:lineRule="exact"/>
        <w:ind w:left="200" w:leftChars="100" w:firstLine="360" w:firstLineChars="200"/>
        <w:rPr>
          <w:color w:val="auto"/>
        </w:rPr>
      </w:pPr>
    </w:p>
    <w:p>
      <w:pPr>
        <w:pStyle w:val="14"/>
        <w:spacing w:after="140" w:line="293" w:lineRule="exact"/>
        <w:ind w:left="200" w:leftChars="100" w:firstLine="360" w:firstLineChars="200"/>
        <w:rPr>
          <w:color w:val="auto"/>
        </w:rPr>
      </w:pPr>
      <w:r>
        <w:rPr>
          <w:rFonts w:hint="eastAsia"/>
          <w:color w:val="auto"/>
        </w:rPr>
        <w:t>第四条 各学院由分管教学工作和学生工作的领导、教务秘书、学生辅导员等组成学业预警工作小组具体负责学业预警工作，教学科研处、学生工作处负责检查督促。</w:t>
      </w:r>
    </w:p>
    <w:p>
      <w:pPr>
        <w:pStyle w:val="14"/>
        <w:spacing w:after="140" w:line="293" w:lineRule="exact"/>
        <w:ind w:left="200" w:leftChars="100" w:firstLine="360" w:firstLineChars="200"/>
        <w:rPr>
          <w:color w:val="auto"/>
        </w:rPr>
      </w:pPr>
    </w:p>
    <w:p>
      <w:pPr>
        <w:pStyle w:val="14"/>
        <w:spacing w:after="140" w:line="293" w:lineRule="exact"/>
        <w:ind w:left="200" w:leftChars="100" w:firstLine="360" w:firstLineChars="200"/>
        <w:rPr>
          <w:color w:val="auto"/>
        </w:rPr>
      </w:pPr>
      <w:r>
        <w:rPr>
          <w:rFonts w:hint="eastAsia"/>
          <w:color w:val="auto"/>
        </w:rPr>
        <w:t>第五条 学业预警工作流程：</w:t>
      </w:r>
    </w:p>
    <w:p>
      <w:pPr>
        <w:pStyle w:val="14"/>
        <w:spacing w:after="140" w:line="293" w:lineRule="exact"/>
        <w:ind w:left="200" w:leftChars="100" w:firstLine="360" w:firstLineChars="200"/>
        <w:rPr>
          <w:color w:val="auto"/>
        </w:rPr>
      </w:pPr>
      <w:r>
        <w:rPr>
          <w:rFonts w:hint="eastAsia"/>
          <w:color w:val="auto"/>
        </w:rPr>
        <w:t>（一）确定名单</w:t>
      </w:r>
    </w:p>
    <w:p>
      <w:pPr>
        <w:pStyle w:val="14"/>
        <w:spacing w:after="140" w:line="293" w:lineRule="exact"/>
        <w:ind w:left="200" w:leftChars="100" w:firstLine="360" w:firstLineChars="200"/>
        <w:rPr>
          <w:color w:val="auto"/>
        </w:rPr>
      </w:pPr>
      <w:r>
        <w:rPr>
          <w:rFonts w:hint="eastAsia"/>
          <w:color w:val="auto"/>
        </w:rPr>
        <w:t>每学期补考结束三周内，各学院指定专人依据专业培养方案</w:t>
      </w:r>
    </w:p>
    <w:p>
      <w:pPr>
        <w:pStyle w:val="14"/>
        <w:spacing w:after="140" w:line="293" w:lineRule="exact"/>
        <w:ind w:left="200" w:leftChars="100" w:firstLine="360" w:firstLineChars="200"/>
        <w:rPr>
          <w:color w:val="auto"/>
        </w:rPr>
      </w:pPr>
      <w:r>
        <w:rPr>
          <w:rFonts w:hint="eastAsia"/>
          <w:color w:val="auto"/>
        </w:rPr>
        <w:t>对学生学业情况进行核对，确定进入学业预警范围的学生名单，</w:t>
      </w:r>
    </w:p>
    <w:p>
      <w:pPr>
        <w:pStyle w:val="14"/>
        <w:spacing w:after="140" w:line="293" w:lineRule="exact"/>
        <w:ind w:left="200" w:leftChars="100" w:firstLine="360" w:firstLineChars="200"/>
        <w:rPr>
          <w:color w:val="auto"/>
        </w:rPr>
      </w:pPr>
      <w:r>
        <w:rPr>
          <w:rFonts w:hint="eastAsia"/>
          <w:color w:val="auto"/>
        </w:rPr>
        <w:t>并报教学科研处、学生工作处备案。</w:t>
      </w:r>
    </w:p>
    <w:p>
      <w:pPr>
        <w:pStyle w:val="14"/>
        <w:spacing w:after="140" w:line="293" w:lineRule="exact"/>
        <w:ind w:left="200" w:leftChars="100" w:firstLine="360" w:firstLineChars="200"/>
        <w:rPr>
          <w:color w:val="auto"/>
        </w:rPr>
      </w:pPr>
      <w:r>
        <w:rPr>
          <w:rFonts w:hint="eastAsia"/>
          <w:color w:val="auto"/>
        </w:rPr>
        <w:t>（二）下达通知</w:t>
      </w:r>
    </w:p>
    <w:p>
      <w:pPr>
        <w:pStyle w:val="14"/>
        <w:spacing w:after="140" w:line="293" w:lineRule="exact"/>
        <w:ind w:left="200" w:leftChars="100" w:firstLine="360" w:firstLineChars="200"/>
        <w:rPr>
          <w:color w:val="auto"/>
        </w:rPr>
      </w:pPr>
      <w:r>
        <w:rPr>
          <w:rFonts w:hint="eastAsia"/>
          <w:color w:val="auto"/>
        </w:rPr>
        <w:t>辅导员通知相关学生，告知其预警等级，及时有针对性地加强对学生的督促，要求预警学生制定学习计划并参加课程学习。</w:t>
      </w:r>
    </w:p>
    <w:p>
      <w:pPr>
        <w:pStyle w:val="14"/>
        <w:spacing w:after="140" w:line="293" w:lineRule="exact"/>
        <w:ind w:left="200" w:leftChars="100" w:firstLine="360" w:firstLineChars="200"/>
        <w:rPr>
          <w:color w:val="auto"/>
        </w:rPr>
      </w:pPr>
      <w:r>
        <w:rPr>
          <w:rFonts w:hint="eastAsia"/>
          <w:color w:val="auto"/>
        </w:rPr>
        <w:t>（三）警示谈话</w:t>
      </w:r>
    </w:p>
    <w:p>
      <w:pPr>
        <w:pStyle w:val="14"/>
        <w:spacing w:after="140" w:line="293" w:lineRule="exact"/>
        <w:ind w:left="200" w:leftChars="100" w:firstLine="360" w:firstLineChars="200"/>
        <w:rPr>
          <w:color w:val="auto"/>
        </w:rPr>
      </w:pPr>
      <w:r>
        <w:rPr>
          <w:rFonts w:hint="eastAsia"/>
          <w:color w:val="auto"/>
        </w:rPr>
        <w:t>对黄色预警学生，辅导员要与被预警学生进行警示谈话，沟通分析学生学习存在的问题与原因，协助其制定解决方案和学习计划，并填写《学生谈话记录》（附件1），同时与家长取得联系，告知学生学业基本情况，提醒家长配合对学生进行教育。</w:t>
      </w:r>
    </w:p>
    <w:p>
      <w:pPr>
        <w:pStyle w:val="14"/>
        <w:spacing w:after="140" w:line="293" w:lineRule="exact"/>
        <w:ind w:left="200" w:leftChars="100" w:firstLine="360" w:firstLineChars="200"/>
        <w:rPr>
          <w:color w:val="auto"/>
        </w:rPr>
      </w:pPr>
      <w:r>
        <w:rPr>
          <w:rFonts w:hint="eastAsia"/>
          <w:color w:val="auto"/>
        </w:rPr>
        <w:t>（四）联系家长</w:t>
      </w:r>
    </w:p>
    <w:p>
      <w:pPr>
        <w:pStyle w:val="14"/>
        <w:spacing w:after="140" w:line="293" w:lineRule="exact"/>
        <w:ind w:left="200" w:leftChars="100" w:firstLine="360" w:firstLineChars="200"/>
        <w:rPr>
          <w:color w:val="auto"/>
        </w:rPr>
      </w:pPr>
      <w:r>
        <w:rPr>
          <w:rFonts w:hint="eastAsia"/>
          <w:color w:val="auto"/>
        </w:rPr>
        <w:t>对橙色预警学生，辅导员除警示谈话外，还应每学期至少一次以电话等形式联系学生家长，提醒家长及时对学生进行教育，配合学校督促学生努力完成学业。记录联系情况，填写《家长谈话记录》（附件2）。对家长的反馈意见，各学院要及时整理汇总。</w:t>
      </w:r>
    </w:p>
    <w:p>
      <w:pPr>
        <w:pStyle w:val="14"/>
        <w:spacing w:after="140" w:line="293" w:lineRule="exact"/>
        <w:ind w:left="200" w:leftChars="100" w:firstLine="360" w:firstLineChars="200"/>
        <w:rPr>
          <w:color w:val="auto"/>
        </w:rPr>
      </w:pPr>
      <w:r>
        <w:rPr>
          <w:rFonts w:hint="eastAsia"/>
          <w:color w:val="auto"/>
        </w:rPr>
        <w:t>（五）寄发通知</w:t>
      </w:r>
    </w:p>
    <w:p>
      <w:pPr>
        <w:pStyle w:val="14"/>
        <w:spacing w:after="140" w:line="293" w:lineRule="exact"/>
        <w:ind w:left="200" w:leftChars="100" w:firstLine="360" w:firstLineChars="200"/>
        <w:rPr>
          <w:color w:val="auto"/>
        </w:rPr>
      </w:pPr>
      <w:r>
        <w:rPr>
          <w:rFonts w:hint="eastAsia"/>
          <w:color w:val="auto"/>
        </w:rPr>
        <w:t>对红色预警学生，辅导员除警示谈话和联系家长外，还应向学生家长寄发《南京航空航天大学金城学院学生学业红色预警通知书》（附件3），通知书回执须及时收回。在条件允许的情况下邀请家长来校就预警学生的学业情况进行面谈。若家长来校不便则至少保证每学期两次以上主动与家长以电话等形式联系，交流学生近况。谈话记录及时整理，填写《家长谈话记录》。同时，红色预警学生每学期至少参加一次学业辅导咨询活动。</w:t>
      </w:r>
    </w:p>
    <w:p>
      <w:pPr>
        <w:pStyle w:val="14"/>
        <w:spacing w:after="140" w:line="293" w:lineRule="exact"/>
        <w:ind w:left="200" w:leftChars="100" w:firstLine="360" w:firstLineChars="200"/>
        <w:rPr>
          <w:color w:val="auto"/>
        </w:rPr>
      </w:pPr>
      <w:r>
        <w:rPr>
          <w:rFonts w:hint="eastAsia"/>
          <w:color w:val="auto"/>
        </w:rPr>
        <w:t>（六）警示面谈</w:t>
      </w:r>
    </w:p>
    <w:p>
      <w:pPr>
        <w:pStyle w:val="14"/>
        <w:spacing w:after="140" w:line="293" w:lineRule="exact"/>
        <w:ind w:left="200" w:leftChars="100" w:firstLine="360" w:firstLineChars="200"/>
        <w:rPr>
          <w:color w:val="auto"/>
        </w:rPr>
      </w:pPr>
      <w:r>
        <w:rPr>
          <w:rFonts w:hint="eastAsia"/>
          <w:color w:val="auto"/>
        </w:rPr>
        <w:t>对退学警示学生，除辅导员与学生警示谈话、联系家长和寄发《南京航空航天大学金城学院学生退学警示通知书》（附件4）外，学业预警工作小组须选派至少两名代表每学期不少于一次联系家长来校就退学警示学生学业情况进行面谈，谈话记录及时整理，填写《家长谈话记录》。若家长无法来校，请家长提供书面说明材料，同时辅导员至少每学期三次以上主动与家长以电话等形式联系，交流学生近况。退学警示学生每学期必须参加各类学业辅导咨询活动。</w:t>
      </w:r>
    </w:p>
    <w:p>
      <w:pPr>
        <w:pStyle w:val="14"/>
        <w:spacing w:after="140" w:line="293" w:lineRule="exact"/>
        <w:ind w:left="200" w:leftChars="100" w:firstLine="360" w:firstLineChars="200"/>
        <w:rPr>
          <w:color w:val="auto"/>
        </w:rPr>
      </w:pPr>
      <w:r>
        <w:rPr>
          <w:rFonts w:hint="eastAsia"/>
          <w:color w:val="auto"/>
        </w:rPr>
        <w:t xml:space="preserve">（七）建立档案  </w:t>
      </w:r>
    </w:p>
    <w:p>
      <w:pPr>
        <w:pStyle w:val="14"/>
        <w:spacing w:after="140" w:line="293" w:lineRule="exact"/>
        <w:ind w:left="200" w:leftChars="100" w:firstLine="360" w:firstLineChars="200"/>
        <w:rPr>
          <w:color w:val="auto"/>
        </w:rPr>
      </w:pPr>
      <w:r>
        <w:rPr>
          <w:rFonts w:hint="eastAsia"/>
          <w:color w:val="auto"/>
        </w:rPr>
        <w:t>各学院应给每个预警学生建立预警管理档案，预警教育过程应留有书面记录，每学期末整理归档。学业预警档案包括学生成绩单，学生学习计划书，学生谈话记录，家长谈话记录，学业预警通知书家长回执等相关材料。</w:t>
      </w:r>
    </w:p>
    <w:p>
      <w:pPr>
        <w:pStyle w:val="14"/>
        <w:spacing w:after="140" w:line="293" w:lineRule="exact"/>
        <w:ind w:left="200" w:leftChars="100" w:firstLine="360" w:firstLineChars="200"/>
        <w:rPr>
          <w:color w:val="auto"/>
        </w:rPr>
      </w:pPr>
    </w:p>
    <w:p>
      <w:pPr>
        <w:pStyle w:val="14"/>
        <w:spacing w:after="140" w:line="293" w:lineRule="exact"/>
        <w:ind w:left="200" w:leftChars="100" w:firstLine="360" w:firstLineChars="200"/>
        <w:rPr>
          <w:color w:val="auto"/>
        </w:rPr>
      </w:pPr>
      <w:r>
        <w:rPr>
          <w:rFonts w:hint="eastAsia"/>
          <w:color w:val="auto"/>
        </w:rPr>
        <w:t>第六条 各学院分管教学工作和学生工作的领导、教务秘书、</w:t>
      </w:r>
    </w:p>
    <w:p>
      <w:pPr>
        <w:pStyle w:val="14"/>
        <w:spacing w:after="140" w:line="293" w:lineRule="exact"/>
        <w:ind w:left="200" w:leftChars="100" w:firstLine="360" w:firstLineChars="200"/>
        <w:rPr>
          <w:color w:val="auto"/>
        </w:rPr>
      </w:pPr>
      <w:r>
        <w:rPr>
          <w:rFonts w:hint="eastAsia"/>
          <w:color w:val="auto"/>
        </w:rPr>
        <w:t>学生辅导员应明确分工、各司其职、密切配合，及时掌握学生的学习状况和学业完成情况，共同做好学业预警工作。</w:t>
      </w:r>
    </w:p>
    <w:p>
      <w:pPr>
        <w:pStyle w:val="14"/>
        <w:spacing w:after="140" w:line="293" w:lineRule="exact"/>
        <w:ind w:left="200" w:leftChars="100" w:firstLine="360" w:firstLineChars="200"/>
        <w:rPr>
          <w:color w:val="auto"/>
        </w:rPr>
      </w:pPr>
      <w:r>
        <w:rPr>
          <w:rFonts w:hint="eastAsia"/>
          <w:color w:val="auto"/>
        </w:rPr>
        <w:t>第七条 教学科研处、学生工作处定期对各学院的学业预警工作情况进行检查，动态管理，做好督促工作。</w:t>
      </w:r>
    </w:p>
    <w:p>
      <w:pPr>
        <w:pStyle w:val="14"/>
        <w:spacing w:after="140" w:line="293" w:lineRule="exact"/>
        <w:ind w:left="200" w:leftChars="100" w:firstLine="360" w:firstLineChars="200"/>
        <w:rPr>
          <w:color w:val="auto"/>
        </w:rPr>
      </w:pPr>
      <w:r>
        <w:rPr>
          <w:rFonts w:hint="eastAsia"/>
          <w:color w:val="auto"/>
        </w:rPr>
        <w:t>第八条 教学科研处、各教学单位做好难度系数大的课程的重修班开设、课业辅导、学业辅导咨询等学业帮扶工作。</w:t>
      </w:r>
    </w:p>
    <w:p>
      <w:pPr>
        <w:pStyle w:val="14"/>
        <w:spacing w:after="140" w:line="293" w:lineRule="exact"/>
        <w:ind w:left="200" w:leftChars="100" w:firstLine="360" w:firstLineChars="200"/>
        <w:rPr>
          <w:color w:val="auto"/>
        </w:rPr>
      </w:pPr>
      <w:r>
        <w:rPr>
          <w:rFonts w:hint="eastAsia"/>
          <w:color w:val="auto"/>
        </w:rPr>
        <w:t>第九条 本办法自公布之日起开始实行，由教学科研处、学生工作处负责解释。</w:t>
      </w:r>
    </w:p>
    <w:p>
      <w:pPr>
        <w:pStyle w:val="14"/>
        <w:spacing w:after="140" w:line="293" w:lineRule="exact"/>
        <w:ind w:left="200" w:leftChars="100" w:firstLine="360" w:firstLineChars="200"/>
        <w:rPr>
          <w:color w:val="auto"/>
        </w:rPr>
      </w:pPr>
      <w:r>
        <w:rPr>
          <w:rFonts w:hint="eastAsia"/>
          <w:color w:val="auto"/>
        </w:rPr>
        <w:t>附件：1.学生谈话记录</w:t>
      </w:r>
    </w:p>
    <w:p>
      <w:pPr>
        <w:pStyle w:val="14"/>
        <w:spacing w:after="140" w:line="293" w:lineRule="exact"/>
        <w:ind w:left="200" w:leftChars="100" w:firstLine="900" w:firstLineChars="500"/>
        <w:rPr>
          <w:color w:val="auto"/>
        </w:rPr>
      </w:pPr>
      <w:r>
        <w:rPr>
          <w:rFonts w:hint="eastAsia"/>
          <w:color w:val="auto"/>
        </w:rPr>
        <w:t>2.家长谈话记录</w:t>
      </w:r>
    </w:p>
    <w:p>
      <w:pPr>
        <w:pStyle w:val="14"/>
        <w:spacing w:after="140" w:line="293" w:lineRule="exact"/>
        <w:ind w:left="200" w:leftChars="100" w:firstLine="900" w:firstLineChars="500"/>
        <w:rPr>
          <w:color w:val="auto"/>
        </w:rPr>
      </w:pPr>
      <w:r>
        <w:rPr>
          <w:rFonts w:hint="eastAsia"/>
          <w:color w:val="auto"/>
        </w:rPr>
        <w:t>3.南京航空航天大学金城学院学生学业红色预警通知书</w:t>
      </w:r>
    </w:p>
    <w:p>
      <w:pPr>
        <w:pStyle w:val="14"/>
        <w:spacing w:after="140" w:line="293" w:lineRule="exact"/>
        <w:ind w:left="200" w:leftChars="100" w:firstLine="900" w:firstLineChars="500"/>
        <w:rPr>
          <w:color w:val="auto"/>
        </w:rPr>
      </w:pPr>
      <w:r>
        <w:rPr>
          <w:rFonts w:hint="eastAsia"/>
          <w:color w:val="auto"/>
        </w:rPr>
        <w:t>4.南京航空航天大学金城学院学生退学警示通知书</w:t>
      </w:r>
      <w:bookmarkStart w:id="248" w:name="bookmark389"/>
      <w:bookmarkStart w:id="249" w:name="bookmark388"/>
      <w:bookmarkStart w:id="250" w:name="bookmark390"/>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pStyle w:val="14"/>
        <w:spacing w:after="140" w:line="293" w:lineRule="exact"/>
        <w:ind w:left="200" w:leftChars="100" w:firstLine="900" w:firstLineChars="500"/>
        <w:rPr>
          <w:color w:val="auto"/>
        </w:rPr>
      </w:pPr>
    </w:p>
    <w:p>
      <w:pPr>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方正小标宋_GBK" w:eastAsia="方正小标宋_GBK"/>
          <w:sz w:val="44"/>
          <w:szCs w:val="44"/>
        </w:rPr>
      </w:pPr>
      <w:r>
        <w:rPr>
          <w:rFonts w:hint="eastAsia" w:ascii="方正小标宋_GBK" w:eastAsia="方正小标宋_GBK"/>
          <w:sz w:val="32"/>
          <w:szCs w:val="32"/>
        </w:rPr>
        <w:t>学生谈话记录</w:t>
      </w:r>
    </w:p>
    <w:tbl>
      <w:tblPr>
        <w:tblStyle w:val="6"/>
        <w:tblW w:w="8568" w:type="dxa"/>
        <w:tblInd w:w="298"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0"/>
        <w:gridCol w:w="2448"/>
        <w:gridCol w:w="2052"/>
        <w:gridCol w:w="2448"/>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学   院</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专    业</w:t>
            </w:r>
          </w:p>
        </w:tc>
        <w:tc>
          <w:tcPr>
            <w:tcW w:w="2448" w:type="dxa"/>
            <w:vAlign w:val="center"/>
          </w:tcPr>
          <w:p>
            <w:pPr>
              <w:jc w:val="cente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姓    名</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学    号</w:t>
            </w:r>
          </w:p>
        </w:tc>
        <w:tc>
          <w:tcPr>
            <w:tcW w:w="2448" w:type="dxa"/>
            <w:vAlign w:val="center"/>
          </w:tcPr>
          <w:p>
            <w:pPr>
              <w:jc w:val="cente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谈话时间</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谈话地点</w:t>
            </w:r>
          </w:p>
        </w:tc>
        <w:tc>
          <w:tcPr>
            <w:tcW w:w="2448" w:type="dxa"/>
            <w:vAlign w:val="center"/>
          </w:tcPr>
          <w:p>
            <w:pPr>
              <w:jc w:val="cente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预警等级</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未获学分累计</w:t>
            </w:r>
          </w:p>
        </w:tc>
        <w:tc>
          <w:tcPr>
            <w:tcW w:w="2448" w:type="dxa"/>
            <w:vAlign w:val="center"/>
          </w:tcPr>
          <w:p>
            <w:pPr>
              <w:jc w:val="cente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是否重点</w:t>
            </w:r>
          </w:p>
          <w:p>
            <w:pPr>
              <w:jc w:val="center"/>
              <w:rPr>
                <w:rFonts w:ascii="方正仿宋_gbk" w:eastAsia="方正仿宋_gbk"/>
                <w:sz w:val="24"/>
                <w:szCs w:val="24"/>
              </w:rPr>
            </w:pPr>
            <w:r>
              <w:rPr>
                <w:rFonts w:hint="eastAsia" w:ascii="方正仿宋_gbk" w:eastAsia="方正仿宋_gbk"/>
                <w:sz w:val="24"/>
                <w:szCs w:val="24"/>
              </w:rPr>
              <w:t>关注学生</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谈话人</w:t>
            </w:r>
          </w:p>
        </w:tc>
        <w:tc>
          <w:tcPr>
            <w:tcW w:w="2448" w:type="dxa"/>
            <w:vAlign w:val="center"/>
          </w:tcPr>
          <w:p>
            <w:pPr>
              <w:jc w:val="cente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5" w:hRule="atLeast"/>
        </w:trPr>
        <w:tc>
          <w:tcPr>
            <w:tcW w:w="8568" w:type="dxa"/>
            <w:gridSpan w:val="4"/>
            <w:tcBorders>
              <w:bottom w:val="single" w:color="000000" w:sz="4" w:space="0"/>
            </w:tcBorders>
          </w:tcPr>
          <w:p>
            <w:pPr>
              <w:spacing w:line="400" w:lineRule="exact"/>
              <w:rPr>
                <w:rFonts w:ascii="方正仿宋_gbk" w:eastAsia="方正仿宋_gbk"/>
                <w:sz w:val="24"/>
                <w:szCs w:val="24"/>
                <w:lang w:eastAsia="zh-CN"/>
              </w:rPr>
            </w:pPr>
            <w:r>
              <w:rPr>
                <w:rFonts w:hint="eastAsia" w:ascii="方正仿宋_gbk" w:eastAsia="方正仿宋_gbk"/>
                <w:sz w:val="24"/>
                <w:szCs w:val="24"/>
                <w:lang w:eastAsia="zh-CN"/>
              </w:rPr>
              <w:t>谈话内容（学生学业情况，原因总结，解决方案，学习计划，是否需要帮扶等）：</w:t>
            </w:r>
          </w:p>
          <w:p>
            <w:pPr>
              <w:rPr>
                <w:rFonts w:ascii="方正仿宋_gbk" w:eastAsia="方正仿宋_gbk"/>
                <w:sz w:val="24"/>
                <w:szCs w:val="24"/>
                <w:lang w:eastAsia="zh-CN"/>
              </w:rPr>
            </w:pPr>
          </w:p>
          <w:p>
            <w:pPr>
              <w:rPr>
                <w:rFonts w:ascii="方正仿宋_gbk" w:eastAsia="方正仿宋_gbk"/>
                <w:sz w:val="24"/>
                <w:szCs w:val="24"/>
                <w:lang w:eastAsia="zh-CN"/>
              </w:rPr>
            </w:pPr>
          </w:p>
          <w:p>
            <w:pPr>
              <w:rPr>
                <w:rFonts w:ascii="方正仿宋_gbk" w:eastAsia="方正仿宋_gbk"/>
                <w:sz w:val="24"/>
                <w:szCs w:val="24"/>
                <w:lang w:eastAsia="zh-CN"/>
              </w:rPr>
            </w:pPr>
          </w:p>
          <w:p>
            <w:pPr>
              <w:rPr>
                <w:rFonts w:ascii="方正仿宋_gbk" w:eastAsia="方正仿宋_gbk"/>
                <w:sz w:val="24"/>
                <w:szCs w:val="24"/>
                <w:lang w:eastAsia="zh-CN"/>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568" w:type="dxa"/>
            <w:gridSpan w:val="4"/>
            <w:tcBorders>
              <w:left w:val="nil"/>
              <w:bottom w:val="nil"/>
              <w:right w:val="nil"/>
            </w:tcBorders>
          </w:tcPr>
          <w:p>
            <w:pPr>
              <w:rPr>
                <w:rFonts w:ascii="方正仿宋_gbk" w:eastAsia="方正仿宋_gbk"/>
                <w:sz w:val="24"/>
                <w:szCs w:val="24"/>
                <w:lang w:eastAsia="zh-CN"/>
              </w:rPr>
            </w:pPr>
            <w:r>
              <w:rPr>
                <w:rFonts w:hint="eastAsia" w:ascii="方正仿宋_gbk" w:eastAsia="方正仿宋_gbk"/>
                <w:sz w:val="24"/>
                <w:szCs w:val="24"/>
                <w:lang w:eastAsia="zh-CN"/>
              </w:rPr>
              <w:t>注：谈话记录须包含本表内容，格式不限。</w:t>
            </w:r>
          </w:p>
        </w:tc>
      </w:tr>
    </w:tbl>
    <w:p>
      <w:pPr>
        <w:pStyle w:val="14"/>
        <w:spacing w:after="140" w:line="293" w:lineRule="exact"/>
        <w:ind w:left="200" w:leftChars="100" w:firstLine="904" w:firstLineChars="500"/>
        <w:rPr>
          <w:b/>
          <w:bCs/>
          <w:color w:val="auto"/>
          <w:lang w:eastAsia="zh-CN"/>
        </w:rPr>
      </w:pPr>
    </w:p>
    <w:p>
      <w:pPr>
        <w:pStyle w:val="14"/>
        <w:spacing w:after="140" w:line="293" w:lineRule="exact"/>
        <w:ind w:firstLine="0"/>
        <w:rPr>
          <w:b/>
          <w:bCs/>
          <w:color w:val="auto"/>
          <w:lang w:eastAsia="zh-CN"/>
        </w:rPr>
      </w:pPr>
    </w:p>
    <w:p>
      <w:pPr>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ascii="方正小标宋简体" w:eastAsia="方正小标宋简体"/>
          <w:sz w:val="44"/>
          <w:szCs w:val="44"/>
        </w:rPr>
      </w:pPr>
      <w:r>
        <w:rPr>
          <w:rFonts w:hint="eastAsia" w:ascii="方正小标宋_GBK" w:eastAsia="方正小标宋_GBK"/>
          <w:sz w:val="32"/>
          <w:szCs w:val="32"/>
        </w:rPr>
        <w:t>家长谈话记录</w:t>
      </w:r>
    </w:p>
    <w:tbl>
      <w:tblPr>
        <w:tblStyle w:val="6"/>
        <w:tblW w:w="8568" w:type="dxa"/>
        <w:tblInd w:w="231"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0"/>
        <w:gridCol w:w="2448"/>
        <w:gridCol w:w="2052"/>
        <w:gridCol w:w="2448"/>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学    院</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专    业</w:t>
            </w:r>
          </w:p>
        </w:tc>
        <w:tc>
          <w:tcPr>
            <w:tcW w:w="2448" w:type="dxa"/>
            <w:vAlign w:val="center"/>
          </w:tcPr>
          <w:p>
            <w:pPr>
              <w:jc w:val="cente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姓    名</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学    号</w:t>
            </w:r>
          </w:p>
        </w:tc>
        <w:tc>
          <w:tcPr>
            <w:tcW w:w="2448" w:type="dxa"/>
            <w:vAlign w:val="center"/>
          </w:tcPr>
          <w:p>
            <w:pPr>
              <w:jc w:val="cente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预警等级</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未获学分累计</w:t>
            </w:r>
          </w:p>
        </w:tc>
        <w:tc>
          <w:tcPr>
            <w:tcW w:w="2448" w:type="dxa"/>
            <w:vAlign w:val="center"/>
          </w:tcPr>
          <w:p>
            <w:pPr>
              <w:jc w:val="cente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家长姓名</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家长联系电话</w:t>
            </w:r>
          </w:p>
        </w:tc>
        <w:tc>
          <w:tcPr>
            <w:tcW w:w="2448" w:type="dxa"/>
            <w:vAlign w:val="center"/>
          </w:tcPr>
          <w:p>
            <w:pPr>
              <w:jc w:val="cente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谈话地点</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谈话时间</w:t>
            </w:r>
          </w:p>
        </w:tc>
        <w:tc>
          <w:tcPr>
            <w:tcW w:w="2448" w:type="dxa"/>
            <w:vAlign w:val="center"/>
          </w:tcPr>
          <w:p>
            <w:pP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是否重点</w:t>
            </w:r>
          </w:p>
          <w:p>
            <w:pPr>
              <w:jc w:val="center"/>
              <w:rPr>
                <w:rFonts w:ascii="方正仿宋_gbk" w:eastAsia="方正仿宋_gbk"/>
                <w:sz w:val="24"/>
                <w:szCs w:val="24"/>
              </w:rPr>
            </w:pPr>
            <w:r>
              <w:rPr>
                <w:rFonts w:hint="eastAsia" w:ascii="方正仿宋_gbk" w:eastAsia="方正仿宋_gbk"/>
                <w:sz w:val="24"/>
                <w:szCs w:val="24"/>
              </w:rPr>
              <w:t>关注学生</w:t>
            </w:r>
          </w:p>
        </w:tc>
        <w:tc>
          <w:tcPr>
            <w:tcW w:w="2448" w:type="dxa"/>
            <w:vAlign w:val="center"/>
          </w:tcPr>
          <w:p>
            <w:pPr>
              <w:jc w:val="center"/>
              <w:rPr>
                <w:rFonts w:ascii="方正仿宋_gbk" w:eastAsia="方正仿宋_gbk"/>
                <w:sz w:val="24"/>
                <w:szCs w:val="24"/>
              </w:rPr>
            </w:pPr>
          </w:p>
        </w:tc>
        <w:tc>
          <w:tcPr>
            <w:tcW w:w="2052" w:type="dxa"/>
            <w:vAlign w:val="center"/>
          </w:tcPr>
          <w:p>
            <w:pPr>
              <w:jc w:val="center"/>
              <w:rPr>
                <w:rFonts w:ascii="方正仿宋_gbk" w:eastAsia="方正仿宋_gbk"/>
                <w:sz w:val="24"/>
                <w:szCs w:val="24"/>
              </w:rPr>
            </w:pPr>
            <w:r>
              <w:rPr>
                <w:rFonts w:hint="eastAsia" w:ascii="方正仿宋_gbk" w:eastAsia="方正仿宋_gbk"/>
                <w:sz w:val="24"/>
                <w:szCs w:val="24"/>
              </w:rPr>
              <w:t>谈话人</w:t>
            </w:r>
          </w:p>
        </w:tc>
        <w:tc>
          <w:tcPr>
            <w:tcW w:w="2448" w:type="dxa"/>
            <w:vAlign w:val="center"/>
          </w:tcPr>
          <w:p>
            <w:pPr>
              <w:rPr>
                <w:rFonts w:ascii="方正仿宋_gbk" w:eastAsia="方正仿宋_gbk"/>
                <w:sz w:val="24"/>
                <w:szCs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vAlign w:val="center"/>
          </w:tcPr>
          <w:p>
            <w:pPr>
              <w:jc w:val="center"/>
              <w:rPr>
                <w:rFonts w:ascii="方正仿宋_gbk" w:eastAsia="方正仿宋_gbk"/>
                <w:sz w:val="24"/>
                <w:szCs w:val="24"/>
              </w:rPr>
            </w:pPr>
            <w:r>
              <w:rPr>
                <w:rFonts w:hint="eastAsia" w:ascii="方正仿宋_gbk" w:eastAsia="方正仿宋_gbk"/>
                <w:sz w:val="24"/>
                <w:szCs w:val="24"/>
              </w:rPr>
              <w:t>谈话方式</w:t>
            </w:r>
          </w:p>
        </w:tc>
        <w:tc>
          <w:tcPr>
            <w:tcW w:w="6948" w:type="dxa"/>
            <w:gridSpan w:val="3"/>
            <w:vAlign w:val="center"/>
          </w:tcPr>
          <w:p>
            <w:pPr>
              <w:ind w:firstLine="600" w:firstLineChars="250"/>
              <w:rPr>
                <w:rFonts w:ascii="方正仿宋_gbk" w:eastAsia="方正仿宋_gbk"/>
                <w:sz w:val="24"/>
                <w:szCs w:val="24"/>
              </w:rPr>
            </w:pPr>
            <w:r>
              <w:rPr>
                <w:rFonts w:hint="eastAsia" w:ascii="方正仿宋_gbk" w:eastAsia="方正仿宋_gbk"/>
                <w:sz w:val="24"/>
                <w:szCs w:val="24"/>
              </w:rPr>
              <w:t>电话/面谈/其它</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5" w:hRule="atLeast"/>
        </w:trPr>
        <w:tc>
          <w:tcPr>
            <w:tcW w:w="8568" w:type="dxa"/>
            <w:gridSpan w:val="4"/>
            <w:tcBorders>
              <w:bottom w:val="single" w:color="000000" w:sz="4" w:space="0"/>
            </w:tcBorders>
          </w:tcPr>
          <w:p>
            <w:pPr>
              <w:spacing w:line="400" w:lineRule="exact"/>
              <w:rPr>
                <w:rFonts w:ascii="方正仿宋_gbk" w:eastAsia="方正仿宋_gbk"/>
                <w:sz w:val="24"/>
                <w:szCs w:val="24"/>
                <w:lang w:eastAsia="zh-CN"/>
              </w:rPr>
            </w:pPr>
            <w:r>
              <w:rPr>
                <w:rFonts w:hint="eastAsia" w:ascii="方正仿宋_gbk" w:eastAsia="方正仿宋_gbk"/>
                <w:sz w:val="24"/>
                <w:szCs w:val="24"/>
                <w:lang w:eastAsia="zh-CN"/>
              </w:rPr>
              <w:t>谈话记录（学生在家情况，在校表现，家长对学生和学校的想法、建议等）：</w:t>
            </w: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p>
            <w:pPr>
              <w:spacing w:line="560" w:lineRule="exact"/>
              <w:rPr>
                <w:rFonts w:ascii="方正仿宋_gbk" w:eastAsia="方正仿宋_gbk"/>
                <w:sz w:val="24"/>
                <w:szCs w:val="24"/>
                <w:lang w:eastAsia="zh-CN"/>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8568" w:type="dxa"/>
            <w:gridSpan w:val="4"/>
            <w:tcBorders>
              <w:left w:val="nil"/>
              <w:bottom w:val="nil"/>
              <w:right w:val="nil"/>
            </w:tcBorders>
          </w:tcPr>
          <w:p>
            <w:pPr>
              <w:rPr>
                <w:rFonts w:ascii="方正仿宋_gbk" w:eastAsia="方正仿宋_gbk"/>
                <w:sz w:val="24"/>
                <w:szCs w:val="24"/>
                <w:lang w:eastAsia="zh-CN"/>
              </w:rPr>
            </w:pPr>
            <w:r>
              <w:rPr>
                <w:rFonts w:hint="eastAsia" w:ascii="方正仿宋_gbk" w:eastAsia="方正仿宋_gbk"/>
                <w:sz w:val="24"/>
                <w:szCs w:val="24"/>
                <w:lang w:eastAsia="zh-CN"/>
              </w:rPr>
              <w:t>注：谈话记录须包含本表内容，格式不限。</w:t>
            </w:r>
          </w:p>
        </w:tc>
      </w:tr>
    </w:tbl>
    <w:p>
      <w:pPr>
        <w:pStyle w:val="14"/>
        <w:spacing w:after="140" w:line="293" w:lineRule="exact"/>
        <w:ind w:firstLine="0"/>
        <w:rPr>
          <w:b/>
          <w:bCs/>
          <w:color w:val="auto"/>
          <w:lang w:eastAsia="zh-CN"/>
        </w:rPr>
      </w:pPr>
    </w:p>
    <w:p>
      <w:pPr>
        <w:pStyle w:val="14"/>
        <w:spacing w:after="140" w:line="293" w:lineRule="exact"/>
        <w:ind w:firstLine="0"/>
        <w:rPr>
          <w:b/>
          <w:bCs/>
          <w:color w:val="auto"/>
          <w:lang w:eastAsia="zh-CN"/>
        </w:rPr>
      </w:pPr>
    </w:p>
    <w:p>
      <w:pPr>
        <w:rPr>
          <w:rFonts w:ascii="方正小标宋_GBK" w:hAnsi="黑体" w:eastAsia="方正小标宋_GBK"/>
          <w:lang w:eastAsia="zh-CN"/>
        </w:rPr>
      </w:pPr>
      <w:r>
        <w:rPr>
          <w:rFonts w:hint="eastAsia" w:ascii="黑体" w:hAnsi="黑体" w:eastAsia="黑体" w:cs="黑体"/>
          <w:sz w:val="32"/>
          <w:szCs w:val="32"/>
          <w:lang w:eastAsia="zh-CN"/>
        </w:rPr>
        <w:t>附件3：</w:t>
      </w:r>
    </w:p>
    <w:p>
      <w:pPr>
        <w:spacing w:line="440" w:lineRule="exact"/>
        <w:jc w:val="center"/>
        <w:rPr>
          <w:rFonts w:ascii="方正小标宋_GBK" w:eastAsia="方正小标宋_GBK"/>
          <w:sz w:val="32"/>
          <w:szCs w:val="32"/>
          <w:lang w:eastAsia="zh-CN"/>
        </w:rPr>
      </w:pPr>
      <w:r>
        <w:rPr>
          <w:rFonts w:hint="eastAsia" w:ascii="方正小标宋_GBK" w:eastAsia="方正小标宋_GBK"/>
          <w:sz w:val="32"/>
          <w:szCs w:val="32"/>
          <w:lang w:eastAsia="zh-CN"/>
        </w:rPr>
        <w:t>南京航空航天大学金城学院</w:t>
      </w:r>
    </w:p>
    <w:p>
      <w:pPr>
        <w:spacing w:line="440" w:lineRule="exact"/>
        <w:jc w:val="center"/>
        <w:rPr>
          <w:rFonts w:ascii="方正小标宋简体" w:eastAsia="方正小标宋简体"/>
          <w:sz w:val="32"/>
          <w:szCs w:val="32"/>
          <w:lang w:eastAsia="zh-CN"/>
        </w:rPr>
      </w:pPr>
      <w:r>
        <w:rPr>
          <w:rFonts w:hint="eastAsia" w:ascii="方正小标宋_GBK" w:eastAsia="方正小标宋_GBK"/>
          <w:sz w:val="32"/>
          <w:szCs w:val="32"/>
          <w:lang w:eastAsia="zh-CN"/>
        </w:rPr>
        <w:t>学生学业红色预警通知书</w:t>
      </w:r>
    </w:p>
    <w:p>
      <w:pPr>
        <w:spacing w:line="440" w:lineRule="exact"/>
        <w:jc w:val="center"/>
        <w:rPr>
          <w:rFonts w:ascii="方正仿宋_gbk" w:eastAsia="方正仿宋_gbk"/>
          <w:sz w:val="44"/>
          <w:szCs w:val="44"/>
        </w:rPr>
      </w:pPr>
      <w:r>
        <w:rPr>
          <w:rFonts w:hint="eastAsia" w:ascii="方正仿宋_gbk" w:eastAsia="方正仿宋_gbk"/>
          <w:sz w:val="32"/>
          <w:szCs w:val="32"/>
        </w:rPr>
        <w:t>上联</w:t>
      </w:r>
    </w:p>
    <w:p>
      <w:pPr>
        <w:spacing w:line="340" w:lineRule="exact"/>
        <w:ind w:firstLine="400" w:firstLineChars="200"/>
        <w:rPr>
          <w:rFonts w:ascii="方正仿宋_gbk" w:eastAsia="方正仿宋_gbk"/>
          <w:sz w:val="24"/>
        </w:rPr>
      </w:pPr>
      <w:r>
        <w:rPr>
          <w:rFonts w:hint="eastAsia" w:ascii="方正仿宋_gbk" w:eastAsia="方正仿宋_gbk"/>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6"/>
        <w:gridCol w:w="2635"/>
        <w:gridCol w:w="300"/>
        <w:gridCol w:w="1502"/>
        <w:gridCol w:w="2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1326" w:type="dxa"/>
            <w:vAlign w:val="center"/>
          </w:tcPr>
          <w:p>
            <w:pPr>
              <w:spacing w:line="340" w:lineRule="exact"/>
              <w:jc w:val="center"/>
              <w:rPr>
                <w:rFonts w:ascii="方正仿宋_gbk" w:eastAsia="方正仿宋_gbk"/>
              </w:rPr>
            </w:pPr>
            <w:r>
              <w:rPr>
                <w:rFonts w:hint="eastAsia" w:ascii="方正仿宋_gbk" w:eastAsia="方正仿宋_gbk"/>
              </w:rPr>
              <w:t>姓  名</w:t>
            </w:r>
          </w:p>
        </w:tc>
        <w:tc>
          <w:tcPr>
            <w:tcW w:w="2635" w:type="dxa"/>
            <w:vAlign w:val="center"/>
          </w:tcPr>
          <w:p>
            <w:pPr>
              <w:spacing w:line="340" w:lineRule="exact"/>
              <w:jc w:val="center"/>
              <w:rPr>
                <w:rFonts w:ascii="方正仿宋_gbk" w:eastAsia="方正仿宋_gbk"/>
              </w:rPr>
            </w:pPr>
          </w:p>
        </w:tc>
        <w:tc>
          <w:tcPr>
            <w:tcW w:w="1802" w:type="dxa"/>
            <w:gridSpan w:val="2"/>
            <w:vAlign w:val="center"/>
          </w:tcPr>
          <w:p>
            <w:pPr>
              <w:spacing w:line="340" w:lineRule="exact"/>
              <w:jc w:val="center"/>
              <w:rPr>
                <w:rFonts w:ascii="方正仿宋_gbk" w:eastAsia="方正仿宋_gbk"/>
              </w:rPr>
            </w:pPr>
            <w:r>
              <w:rPr>
                <w:rFonts w:hint="eastAsia" w:ascii="方正仿宋_gbk" w:eastAsia="方正仿宋_gbk"/>
              </w:rPr>
              <w:t>学  号</w:t>
            </w:r>
          </w:p>
        </w:tc>
        <w:tc>
          <w:tcPr>
            <w:tcW w:w="2759" w:type="dxa"/>
            <w:vAlign w:val="center"/>
          </w:tcPr>
          <w:p>
            <w:pPr>
              <w:spacing w:line="340" w:lineRule="exact"/>
              <w:jc w:val="center"/>
              <w:rPr>
                <w:rFonts w:ascii="方正仿宋_gbk" w:eastAsia="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326" w:type="dxa"/>
            <w:vAlign w:val="center"/>
          </w:tcPr>
          <w:p>
            <w:pPr>
              <w:spacing w:line="340" w:lineRule="exact"/>
              <w:jc w:val="center"/>
              <w:rPr>
                <w:rFonts w:ascii="方正仿宋_gbk" w:eastAsia="方正仿宋_gbk"/>
              </w:rPr>
            </w:pPr>
            <w:r>
              <w:rPr>
                <w:rFonts w:hint="eastAsia" w:ascii="方正仿宋_gbk" w:eastAsia="方正仿宋_gbk"/>
              </w:rPr>
              <w:t>学  院</w:t>
            </w:r>
          </w:p>
        </w:tc>
        <w:tc>
          <w:tcPr>
            <w:tcW w:w="2635" w:type="dxa"/>
            <w:vAlign w:val="center"/>
          </w:tcPr>
          <w:p>
            <w:pPr>
              <w:spacing w:line="340" w:lineRule="exact"/>
              <w:jc w:val="center"/>
              <w:rPr>
                <w:rFonts w:ascii="方正仿宋_gbk" w:eastAsia="方正仿宋_gbk"/>
              </w:rPr>
            </w:pPr>
          </w:p>
        </w:tc>
        <w:tc>
          <w:tcPr>
            <w:tcW w:w="1802" w:type="dxa"/>
            <w:gridSpan w:val="2"/>
            <w:vAlign w:val="center"/>
          </w:tcPr>
          <w:p>
            <w:pPr>
              <w:spacing w:line="340" w:lineRule="exact"/>
              <w:jc w:val="center"/>
              <w:rPr>
                <w:rFonts w:ascii="方正仿宋_gbk" w:eastAsia="方正仿宋_gbk"/>
              </w:rPr>
            </w:pPr>
            <w:r>
              <w:rPr>
                <w:rFonts w:hint="eastAsia" w:ascii="方正仿宋_gbk" w:eastAsia="方正仿宋_gbk"/>
              </w:rPr>
              <w:t>专  业</w:t>
            </w:r>
          </w:p>
        </w:tc>
        <w:tc>
          <w:tcPr>
            <w:tcW w:w="2759" w:type="dxa"/>
            <w:vAlign w:val="center"/>
          </w:tcPr>
          <w:p>
            <w:pPr>
              <w:spacing w:line="340" w:lineRule="exact"/>
              <w:jc w:val="center"/>
              <w:rPr>
                <w:rFonts w:ascii="方正仿宋_gbk" w:eastAsia="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3" w:hRule="atLeast"/>
          <w:jc w:val="center"/>
        </w:trPr>
        <w:tc>
          <w:tcPr>
            <w:tcW w:w="8522" w:type="dxa"/>
            <w:gridSpan w:val="5"/>
            <w:vAlign w:val="center"/>
          </w:tcPr>
          <w:p>
            <w:pPr>
              <w:spacing w:line="340" w:lineRule="exact"/>
              <w:ind w:left="200" w:leftChars="100" w:right="420"/>
              <w:rPr>
                <w:rFonts w:ascii="方正仿宋_gbk" w:eastAsia="方正仿宋_gbk"/>
                <w:lang w:eastAsia="zh-CN"/>
              </w:rPr>
            </w:pPr>
            <w:r>
              <w:rPr>
                <w:rFonts w:hint="eastAsia" w:ascii="方正仿宋_gbk" w:eastAsia="方正仿宋_gbk"/>
                <w:lang w:eastAsia="zh-CN"/>
              </w:rPr>
              <w:t>尊敬的家长：</w:t>
            </w:r>
          </w:p>
          <w:p>
            <w:pPr>
              <w:spacing w:line="340" w:lineRule="exact"/>
              <w:ind w:left="200" w:leftChars="100" w:right="200" w:rightChars="100" w:firstLine="400" w:firstLineChars="200"/>
              <w:rPr>
                <w:rFonts w:ascii="方正仿宋_gbk" w:eastAsia="方正仿宋_gbk"/>
                <w:lang w:eastAsia="zh-CN"/>
              </w:rPr>
            </w:pPr>
            <w:r>
              <w:rPr>
                <w:rFonts w:hint="eastAsia" w:ascii="方正仿宋_gbk" w:eastAsia="方正仿宋_gbk"/>
                <w:lang w:eastAsia="zh-CN"/>
              </w:rPr>
              <w:t>您好！您的孩子目前在学业上面临严重困难，累计已有门必修课程不及格，未获学分累计分。根据《南京航空航天大学金城学院学业预警工作管理办法》，现给予</w:t>
            </w:r>
            <w:r>
              <w:rPr>
                <w:rFonts w:hint="eastAsia" w:ascii="方正仿宋_gbk" w:eastAsia="方正仿宋_gbk"/>
                <w:b/>
                <w:u w:val="double"/>
                <w:lang w:eastAsia="zh-CN"/>
              </w:rPr>
              <w:t>红色预警</w:t>
            </w:r>
            <w:r>
              <w:rPr>
                <w:rFonts w:hint="eastAsia" w:ascii="方正仿宋_gbk" w:eastAsia="方正仿宋_gbk"/>
                <w:lang w:eastAsia="zh-CN"/>
              </w:rPr>
              <w:t>。</w:t>
            </w:r>
          </w:p>
          <w:p>
            <w:pPr>
              <w:spacing w:line="340" w:lineRule="exact"/>
              <w:ind w:left="200" w:leftChars="100" w:right="200" w:rightChars="100" w:firstLine="400" w:firstLineChars="200"/>
              <w:rPr>
                <w:rFonts w:ascii="方正仿宋_gbk" w:eastAsia="方正仿宋_gbk"/>
                <w:lang w:eastAsia="zh-CN"/>
              </w:rPr>
            </w:pPr>
            <w:r>
              <w:rPr>
                <w:rFonts w:hint="eastAsia" w:ascii="方正仿宋_gbk" w:eastAsia="方正仿宋_gbk"/>
                <w:lang w:eastAsia="zh-CN"/>
              </w:rPr>
              <w:t>我们通过《学业预警通知书》向您告知此事实，希望您在了解有关情况后及时与子女联系，配合学校共同督促教育，弥补差距，迎头赶上。请于收到本通知书后两周内将回执寄回。</w:t>
            </w:r>
          </w:p>
          <w:p>
            <w:pPr>
              <w:spacing w:line="340" w:lineRule="exact"/>
              <w:ind w:left="200" w:leftChars="100" w:right="200" w:rightChars="100" w:firstLine="400" w:firstLineChars="200"/>
              <w:rPr>
                <w:rFonts w:ascii="方正仿宋_gbk" w:eastAsia="方正仿宋_gbk"/>
                <w:lang w:eastAsia="zh-CN"/>
              </w:rPr>
            </w:pPr>
            <w:r>
              <w:rPr>
                <w:rFonts w:hint="eastAsia" w:ascii="方正仿宋_gbk" w:eastAsia="方正仿宋_gbk"/>
                <w:lang w:eastAsia="zh-CN"/>
              </w:rPr>
              <w:t>衷心感谢您的理解与支持！</w:t>
            </w:r>
          </w:p>
          <w:p>
            <w:pPr>
              <w:spacing w:line="300" w:lineRule="exact"/>
              <w:ind w:right="420" w:firstLine="400" w:firstLineChars="200"/>
              <w:rPr>
                <w:rFonts w:ascii="方正仿宋_gbk" w:eastAsia="方正仿宋_gbk"/>
                <w:lang w:eastAsia="zh-CN"/>
              </w:rPr>
            </w:pPr>
            <w:r>
              <w:rPr>
                <w:rFonts w:hint="eastAsia" w:ascii="方正仿宋_gbk" w:eastAsia="方正仿宋_gbk"/>
                <w:lang w:eastAsia="zh-CN"/>
              </w:rPr>
              <w:t>辅导员：  联系电话：</w:t>
            </w:r>
          </w:p>
          <w:p>
            <w:pPr>
              <w:spacing w:line="300" w:lineRule="exact"/>
              <w:ind w:left="4900" w:leftChars="200" w:right="420" w:hanging="4500" w:hangingChars="2250"/>
              <w:rPr>
                <w:rFonts w:ascii="方正仿宋_gbk" w:eastAsia="方正仿宋_gbk"/>
                <w:lang w:eastAsia="zh-CN"/>
              </w:rPr>
            </w:pPr>
            <w:r>
              <w:rPr>
                <w:rFonts w:hint="eastAsia" w:ascii="方正仿宋_gbk" w:eastAsia="方正仿宋_gbk"/>
                <w:lang w:eastAsia="zh-CN"/>
              </w:rPr>
              <w:t>通讯地址： 邮编：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jc w:val="center"/>
        </w:trPr>
        <w:tc>
          <w:tcPr>
            <w:tcW w:w="4261" w:type="dxa"/>
            <w:gridSpan w:val="3"/>
            <w:vAlign w:val="center"/>
          </w:tcPr>
          <w:p>
            <w:pPr>
              <w:spacing w:line="340" w:lineRule="exact"/>
              <w:ind w:right="420" w:firstLine="400" w:firstLineChars="200"/>
              <w:rPr>
                <w:rFonts w:ascii="方正仿宋_gbk" w:eastAsia="方正仿宋_gbk"/>
                <w:lang w:eastAsia="zh-CN"/>
              </w:rPr>
            </w:pPr>
            <w:r>
              <w:rPr>
                <w:rFonts w:hint="eastAsia" w:ascii="方正仿宋_gbk" w:eastAsia="方正仿宋_gbk"/>
                <w:lang w:eastAsia="zh-CN"/>
              </w:rPr>
              <w:t>学院意见（盖章）：</w:t>
            </w:r>
          </w:p>
          <w:p>
            <w:pPr>
              <w:spacing w:line="340" w:lineRule="exact"/>
              <w:ind w:right="420" w:firstLine="400" w:firstLineChars="200"/>
              <w:rPr>
                <w:rFonts w:ascii="方正仿宋_gbk" w:eastAsia="方正仿宋_gbk"/>
                <w:lang w:eastAsia="zh-CN"/>
              </w:rPr>
            </w:pPr>
          </w:p>
          <w:p>
            <w:pPr>
              <w:spacing w:line="340" w:lineRule="exact"/>
              <w:ind w:right="420" w:firstLine="400" w:firstLineChars="200"/>
              <w:rPr>
                <w:rFonts w:ascii="方正仿宋_gbk" w:eastAsia="方正仿宋_gbk"/>
                <w:lang w:eastAsia="zh-CN"/>
              </w:rPr>
            </w:pPr>
          </w:p>
          <w:p>
            <w:pPr>
              <w:spacing w:line="340" w:lineRule="exact"/>
              <w:ind w:right="630"/>
              <w:jc w:val="right"/>
              <w:rPr>
                <w:rFonts w:ascii="方正仿宋_gbk" w:eastAsia="方正仿宋_gbk"/>
                <w:lang w:eastAsia="zh-CN"/>
              </w:rPr>
            </w:pPr>
            <w:r>
              <w:rPr>
                <w:rFonts w:hint="eastAsia" w:ascii="方正仿宋_gbk" w:eastAsia="方正仿宋_gbk"/>
                <w:lang w:eastAsia="zh-CN"/>
              </w:rPr>
              <w:t>日期：    年  月  日</w:t>
            </w:r>
          </w:p>
        </w:tc>
        <w:tc>
          <w:tcPr>
            <w:tcW w:w="4261" w:type="dxa"/>
            <w:gridSpan w:val="2"/>
            <w:vAlign w:val="center"/>
          </w:tcPr>
          <w:p>
            <w:pPr>
              <w:spacing w:line="340" w:lineRule="exact"/>
              <w:ind w:right="420" w:firstLine="400" w:firstLineChars="200"/>
              <w:rPr>
                <w:rFonts w:ascii="方正仿宋_gbk" w:eastAsia="方正仿宋_gbk"/>
                <w:lang w:eastAsia="zh-CN"/>
              </w:rPr>
            </w:pPr>
            <w:r>
              <w:rPr>
                <w:rFonts w:hint="eastAsia" w:ascii="方正仿宋_gbk" w:eastAsia="方正仿宋_gbk"/>
                <w:lang w:eastAsia="zh-CN"/>
              </w:rPr>
              <w:t>教学科研处意见（盖章）：</w:t>
            </w:r>
          </w:p>
          <w:p>
            <w:pPr>
              <w:spacing w:line="340" w:lineRule="exact"/>
              <w:ind w:right="420" w:firstLine="400" w:firstLineChars="200"/>
              <w:rPr>
                <w:rFonts w:ascii="方正仿宋_gbk" w:eastAsia="方正仿宋_gbk"/>
                <w:lang w:eastAsia="zh-CN"/>
              </w:rPr>
            </w:pPr>
          </w:p>
          <w:p>
            <w:pPr>
              <w:spacing w:line="340" w:lineRule="exact"/>
              <w:ind w:right="420" w:firstLine="400" w:firstLineChars="200"/>
              <w:rPr>
                <w:rFonts w:ascii="方正仿宋_gbk" w:eastAsia="方正仿宋_gbk"/>
                <w:lang w:eastAsia="zh-CN"/>
              </w:rPr>
            </w:pPr>
          </w:p>
          <w:p>
            <w:pPr>
              <w:spacing w:line="340" w:lineRule="exact"/>
              <w:ind w:right="630"/>
              <w:jc w:val="right"/>
              <w:rPr>
                <w:rFonts w:ascii="方正仿宋_gbk" w:eastAsia="方正仿宋_gbk"/>
              </w:rPr>
            </w:pPr>
            <w:r>
              <w:rPr>
                <w:rFonts w:hint="eastAsia" w:ascii="方正仿宋_gbk" w:eastAsia="方正仿宋_gbk"/>
              </w:rPr>
              <w:t>日期：    年  月  日</w:t>
            </w:r>
          </w:p>
        </w:tc>
      </w:tr>
    </w:tbl>
    <w:p>
      <w:pPr>
        <w:ind w:firstLine="400" w:firstLineChars="200"/>
        <w:rPr>
          <w:rFonts w:ascii="方正仿宋_gbk" w:eastAsia="方正仿宋_gbk"/>
        </w:rPr>
      </w:pPr>
      <w:r>
        <w:rPr>
          <w:rFonts w:hint="eastAsia" w:ascii="方正仿宋_gbk" w:eastAsia="方正仿宋_gbk"/>
        </w:rPr>
        <w:t>----------------------------------------------------------------------------</w:t>
      </w:r>
    </w:p>
    <w:p>
      <w:pPr>
        <w:spacing w:line="440" w:lineRule="exact"/>
        <w:jc w:val="center"/>
        <w:rPr>
          <w:rFonts w:ascii="方正小标宋_GBK" w:eastAsia="方正小标宋_GBK"/>
          <w:sz w:val="44"/>
          <w:szCs w:val="44"/>
        </w:rPr>
      </w:pPr>
      <w:r>
        <w:rPr>
          <w:rFonts w:hint="eastAsia" w:ascii="方正小标宋_GBK" w:eastAsia="方正小标宋_GBK"/>
          <w:sz w:val="36"/>
          <w:szCs w:val="36"/>
        </w:rPr>
        <w:t>学业红色预警通知回执</w:t>
      </w:r>
    </w:p>
    <w:p>
      <w:pPr>
        <w:spacing w:line="440" w:lineRule="exact"/>
        <w:jc w:val="center"/>
        <w:rPr>
          <w:rFonts w:ascii="方正仿宋_gbk" w:eastAsia="方正仿宋_gbk"/>
          <w:sz w:val="44"/>
          <w:szCs w:val="44"/>
        </w:rPr>
      </w:pPr>
      <w:r>
        <w:rPr>
          <w:rFonts w:hint="eastAsia" w:ascii="方正仿宋_gbk" w:eastAsia="方正仿宋_gbk"/>
          <w:sz w:val="32"/>
          <w:szCs w:val="32"/>
        </w:rPr>
        <w:t>下联</w:t>
      </w:r>
    </w:p>
    <w:p>
      <w:pPr>
        <w:spacing w:line="340" w:lineRule="exact"/>
        <w:ind w:firstLine="400" w:firstLineChars="200"/>
        <w:rPr>
          <w:rFonts w:ascii="方正仿宋_gbk" w:eastAsia="方正仿宋_gbk"/>
        </w:rPr>
      </w:pPr>
      <w:r>
        <w:rPr>
          <w:rFonts w:hint="eastAsia" w:ascii="方正仿宋_gbk" w:eastAsia="方正仿宋_gbk"/>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858"/>
        <w:gridCol w:w="1308"/>
        <w:gridCol w:w="1327"/>
        <w:gridCol w:w="1802"/>
        <w:gridCol w:w="85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326" w:type="dxa"/>
            <w:gridSpan w:val="2"/>
            <w:vAlign w:val="center"/>
          </w:tcPr>
          <w:p>
            <w:pPr>
              <w:spacing w:line="340" w:lineRule="exact"/>
              <w:jc w:val="center"/>
              <w:rPr>
                <w:rFonts w:ascii="方正仿宋_gbk" w:eastAsia="方正仿宋_gbk"/>
              </w:rPr>
            </w:pPr>
            <w:r>
              <w:rPr>
                <w:rFonts w:hint="eastAsia" w:ascii="方正仿宋_gbk" w:eastAsia="方正仿宋_gbk"/>
              </w:rPr>
              <w:t>姓  名</w:t>
            </w:r>
          </w:p>
        </w:tc>
        <w:tc>
          <w:tcPr>
            <w:tcW w:w="1308" w:type="dxa"/>
            <w:vAlign w:val="center"/>
          </w:tcPr>
          <w:p>
            <w:pPr>
              <w:spacing w:line="340" w:lineRule="exact"/>
              <w:jc w:val="center"/>
              <w:rPr>
                <w:rFonts w:ascii="方正仿宋_gbk" w:eastAsia="方正仿宋_gbk"/>
              </w:rPr>
            </w:pPr>
          </w:p>
        </w:tc>
        <w:tc>
          <w:tcPr>
            <w:tcW w:w="1327" w:type="dxa"/>
            <w:vAlign w:val="center"/>
          </w:tcPr>
          <w:p>
            <w:pPr>
              <w:spacing w:line="340" w:lineRule="exact"/>
              <w:jc w:val="center"/>
              <w:rPr>
                <w:rFonts w:ascii="方正仿宋_gbk" w:eastAsia="方正仿宋_gbk"/>
              </w:rPr>
            </w:pPr>
            <w:r>
              <w:rPr>
                <w:rFonts w:hint="eastAsia" w:ascii="方正仿宋_gbk" w:eastAsia="方正仿宋_gbk"/>
              </w:rPr>
              <w:t>学  号</w:t>
            </w:r>
          </w:p>
        </w:tc>
        <w:tc>
          <w:tcPr>
            <w:tcW w:w="1802" w:type="dxa"/>
            <w:vAlign w:val="center"/>
          </w:tcPr>
          <w:p>
            <w:pPr>
              <w:spacing w:line="340" w:lineRule="exact"/>
              <w:jc w:val="center"/>
              <w:rPr>
                <w:rFonts w:ascii="方正仿宋_gbk" w:eastAsia="方正仿宋_gbk"/>
              </w:rPr>
            </w:pPr>
          </w:p>
        </w:tc>
        <w:tc>
          <w:tcPr>
            <w:tcW w:w="853" w:type="dxa"/>
            <w:vAlign w:val="center"/>
          </w:tcPr>
          <w:p>
            <w:pPr>
              <w:spacing w:line="340" w:lineRule="exact"/>
              <w:jc w:val="center"/>
              <w:rPr>
                <w:rFonts w:ascii="方正仿宋_gbk" w:eastAsia="方正仿宋_gbk"/>
              </w:rPr>
            </w:pPr>
            <w:r>
              <w:rPr>
                <w:rFonts w:hint="eastAsia" w:ascii="方正仿宋_gbk" w:eastAsia="方正仿宋_gbk"/>
              </w:rPr>
              <w:t>专  业</w:t>
            </w:r>
          </w:p>
        </w:tc>
        <w:tc>
          <w:tcPr>
            <w:tcW w:w="1906" w:type="dxa"/>
            <w:vAlign w:val="center"/>
          </w:tcPr>
          <w:p>
            <w:pPr>
              <w:spacing w:line="340" w:lineRule="exact"/>
              <w:jc w:val="center"/>
              <w:rPr>
                <w:rFonts w:ascii="方正仿宋_gbk" w:eastAsia="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6" w:hRule="atLeast"/>
          <w:jc w:val="center"/>
        </w:trPr>
        <w:tc>
          <w:tcPr>
            <w:tcW w:w="468" w:type="dxa"/>
            <w:vAlign w:val="center"/>
          </w:tcPr>
          <w:p>
            <w:pPr>
              <w:spacing w:line="400" w:lineRule="exact"/>
              <w:jc w:val="center"/>
              <w:rPr>
                <w:rFonts w:ascii="方正仿宋_gbk" w:eastAsia="方正仿宋_gbk"/>
              </w:rPr>
            </w:pPr>
            <w:r>
              <w:rPr>
                <w:rFonts w:hint="eastAsia" w:ascii="方正仿宋_gbk" w:eastAsia="方正仿宋_gbk"/>
              </w:rPr>
              <w:t>家</w:t>
            </w:r>
          </w:p>
          <w:p>
            <w:pPr>
              <w:spacing w:line="400" w:lineRule="exact"/>
              <w:jc w:val="center"/>
              <w:rPr>
                <w:rFonts w:ascii="方正仿宋_gbk" w:eastAsia="方正仿宋_gbk"/>
              </w:rPr>
            </w:pPr>
            <w:r>
              <w:rPr>
                <w:rFonts w:hint="eastAsia" w:ascii="方正仿宋_gbk" w:eastAsia="方正仿宋_gbk"/>
              </w:rPr>
              <w:t>长</w:t>
            </w:r>
          </w:p>
          <w:p>
            <w:pPr>
              <w:spacing w:line="400" w:lineRule="exact"/>
              <w:jc w:val="center"/>
              <w:rPr>
                <w:rFonts w:ascii="方正仿宋_gbk" w:eastAsia="方正仿宋_gbk"/>
              </w:rPr>
            </w:pPr>
            <w:r>
              <w:rPr>
                <w:rFonts w:hint="eastAsia" w:ascii="方正仿宋_gbk" w:eastAsia="方正仿宋_gbk"/>
              </w:rPr>
              <w:t>意</w:t>
            </w:r>
          </w:p>
          <w:p>
            <w:pPr>
              <w:spacing w:line="400" w:lineRule="exact"/>
              <w:jc w:val="center"/>
              <w:rPr>
                <w:rFonts w:ascii="方正仿宋_gbk" w:eastAsia="方正仿宋_gbk"/>
              </w:rPr>
            </w:pPr>
            <w:r>
              <w:rPr>
                <w:rFonts w:hint="eastAsia" w:ascii="方正仿宋_gbk" w:eastAsia="方正仿宋_gbk"/>
              </w:rPr>
              <w:t>见</w:t>
            </w:r>
          </w:p>
        </w:tc>
        <w:tc>
          <w:tcPr>
            <w:tcW w:w="8054" w:type="dxa"/>
            <w:gridSpan w:val="6"/>
          </w:tcPr>
          <w:p>
            <w:pPr>
              <w:spacing w:line="300" w:lineRule="exact"/>
              <w:ind w:firstLine="400" w:firstLineChars="200"/>
              <w:rPr>
                <w:rFonts w:ascii="方正仿宋_gbk" w:eastAsia="方正仿宋_gbk"/>
                <w:szCs w:val="21"/>
                <w:lang w:eastAsia="zh-CN"/>
              </w:rPr>
            </w:pPr>
          </w:p>
          <w:p>
            <w:pPr>
              <w:spacing w:line="300" w:lineRule="exact"/>
              <w:ind w:firstLine="400" w:firstLineChars="200"/>
              <w:rPr>
                <w:rFonts w:ascii="方正仿宋_gbk" w:eastAsia="方正仿宋_gbk"/>
                <w:szCs w:val="21"/>
                <w:lang w:eastAsia="zh-CN"/>
              </w:rPr>
            </w:pPr>
            <w:r>
              <w:rPr>
                <w:rFonts w:hint="eastAsia" w:ascii="方正仿宋_gbk" w:eastAsia="方正仿宋_gbk"/>
                <w:szCs w:val="21"/>
                <w:lang w:eastAsia="zh-CN"/>
              </w:rPr>
              <w:t>1、学生目前的情况家长已了解。（是□/否□）</w:t>
            </w:r>
          </w:p>
          <w:p>
            <w:pPr>
              <w:spacing w:line="300" w:lineRule="exact"/>
              <w:ind w:firstLine="400" w:firstLineChars="200"/>
              <w:rPr>
                <w:rFonts w:ascii="方正仿宋_gbk" w:eastAsia="方正仿宋_gbk"/>
                <w:szCs w:val="21"/>
                <w:lang w:eastAsia="zh-CN"/>
              </w:rPr>
            </w:pPr>
            <w:r>
              <w:rPr>
                <w:rFonts w:hint="eastAsia" w:ascii="方正仿宋_gbk" w:eastAsia="方正仿宋_gbk"/>
                <w:szCs w:val="21"/>
                <w:lang w:eastAsia="zh-CN"/>
              </w:rPr>
              <w:t>2、院系的联系办法家长已清楚。（是□/否□）</w:t>
            </w:r>
          </w:p>
          <w:p>
            <w:pPr>
              <w:spacing w:line="300" w:lineRule="exact"/>
              <w:ind w:firstLine="400" w:firstLineChars="200"/>
              <w:rPr>
                <w:rFonts w:ascii="方正仿宋_gbk" w:eastAsia="方正仿宋_gbk"/>
                <w:lang w:eastAsia="zh-CN"/>
              </w:rPr>
            </w:pPr>
            <w:r>
              <w:rPr>
                <w:rFonts w:hint="eastAsia" w:ascii="方正仿宋_gbk" w:eastAsia="方正仿宋_gbk"/>
                <w:szCs w:val="21"/>
                <w:lang w:eastAsia="zh-CN"/>
              </w:rPr>
              <w:t>3、您的想法、建议（可另附纸）：</w:t>
            </w:r>
          </w:p>
          <w:p>
            <w:pPr>
              <w:spacing w:line="400" w:lineRule="exact"/>
              <w:rPr>
                <w:rFonts w:ascii="方正仿宋_gbk" w:eastAsia="方正仿宋_gbk"/>
                <w:lang w:eastAsia="zh-CN"/>
              </w:rPr>
            </w:pPr>
          </w:p>
          <w:p>
            <w:pPr>
              <w:spacing w:line="400" w:lineRule="exact"/>
              <w:rPr>
                <w:rFonts w:ascii="方正仿宋_gbk" w:eastAsia="方正仿宋_gbk"/>
                <w:lang w:eastAsia="zh-CN"/>
              </w:rPr>
            </w:pPr>
          </w:p>
          <w:p>
            <w:pPr>
              <w:spacing w:line="360" w:lineRule="exact"/>
              <w:ind w:right="1600" w:rightChars="800"/>
              <w:jc w:val="right"/>
              <w:rPr>
                <w:rFonts w:ascii="方正仿宋_gbk" w:eastAsia="方正仿宋_gbk"/>
                <w:lang w:eastAsia="zh-CN"/>
              </w:rPr>
            </w:pPr>
            <w:r>
              <w:rPr>
                <w:rFonts w:hint="eastAsia" w:ascii="方正仿宋_gbk" w:eastAsia="方正仿宋_gbk"/>
                <w:lang w:eastAsia="zh-CN"/>
              </w:rPr>
              <w:t xml:space="preserve">家长签名：      </w:t>
            </w:r>
          </w:p>
          <w:p>
            <w:pPr>
              <w:spacing w:line="360" w:lineRule="exact"/>
              <w:ind w:right="800" w:rightChars="400"/>
              <w:jc w:val="right"/>
              <w:rPr>
                <w:rFonts w:ascii="方正仿宋_gbk" w:eastAsia="方正仿宋_gbk"/>
                <w:lang w:eastAsia="zh-CN"/>
              </w:rPr>
            </w:pPr>
            <w:r>
              <w:rPr>
                <w:rFonts w:hint="eastAsia" w:ascii="方正仿宋_gbk" w:eastAsia="方正仿宋_gbk"/>
                <w:lang w:eastAsia="zh-CN"/>
              </w:rPr>
              <w:t>日期：    年  月  日</w:t>
            </w:r>
          </w:p>
        </w:tc>
      </w:tr>
    </w:tbl>
    <w:p>
      <w:pPr>
        <w:spacing w:line="240" w:lineRule="exact"/>
        <w:ind w:firstLine="200" w:firstLineChars="100"/>
        <w:rPr>
          <w:rFonts w:ascii="方正仿宋_gbk" w:eastAsia="方正仿宋_gbk"/>
          <w:lang w:eastAsia="zh-CN"/>
        </w:rPr>
      </w:pPr>
      <w:r>
        <w:rPr>
          <w:rFonts w:hint="eastAsia" w:ascii="方正仿宋_gbk" w:eastAsia="方正仿宋_gbk"/>
          <w:lang w:eastAsia="zh-CN"/>
        </w:rPr>
        <w:t>注：请于收到本通知书后两周内将回执寄回，谢谢配合。通讯地址见上联。</w:t>
      </w:r>
    </w:p>
    <w:p>
      <w:pPr>
        <w:pStyle w:val="14"/>
        <w:spacing w:after="140" w:line="293" w:lineRule="exact"/>
        <w:ind w:firstLine="0"/>
        <w:rPr>
          <w:b/>
          <w:bCs/>
          <w:color w:val="auto"/>
          <w:lang w:eastAsia="zh-CN"/>
        </w:rPr>
      </w:pPr>
    </w:p>
    <w:p>
      <w:pPr>
        <w:pStyle w:val="14"/>
        <w:spacing w:after="140" w:line="293" w:lineRule="exact"/>
        <w:ind w:firstLine="0"/>
        <w:rPr>
          <w:b/>
          <w:bCs/>
          <w:color w:val="auto"/>
          <w:lang w:eastAsia="zh-CN"/>
        </w:rPr>
      </w:pPr>
    </w:p>
    <w:p>
      <w:pPr>
        <w:rPr>
          <w:rFonts w:ascii="黑体" w:hAnsi="黑体" w:eastAsia="黑体" w:cs="黑体"/>
          <w:sz w:val="32"/>
          <w:szCs w:val="32"/>
          <w:lang w:eastAsia="zh-CN"/>
        </w:rPr>
      </w:pPr>
      <w:r>
        <w:rPr>
          <w:rFonts w:hint="eastAsia" w:ascii="黑体" w:hAnsi="黑体" w:eastAsia="黑体" w:cs="黑体"/>
          <w:sz w:val="32"/>
          <w:szCs w:val="32"/>
          <w:lang w:eastAsia="zh-CN"/>
        </w:rPr>
        <w:t>附件4：</w:t>
      </w:r>
    </w:p>
    <w:p>
      <w:pPr>
        <w:spacing w:line="440" w:lineRule="exact"/>
        <w:jc w:val="center"/>
        <w:rPr>
          <w:rFonts w:ascii="方正小标宋_GBK" w:eastAsia="方正小标宋_GBK"/>
          <w:sz w:val="32"/>
          <w:szCs w:val="32"/>
          <w:lang w:eastAsia="zh-CN"/>
        </w:rPr>
      </w:pPr>
      <w:r>
        <w:rPr>
          <w:rFonts w:hint="eastAsia" w:ascii="方正小标宋_GBK" w:eastAsia="方正小标宋_GBK"/>
          <w:sz w:val="32"/>
          <w:szCs w:val="32"/>
          <w:lang w:eastAsia="zh-CN"/>
        </w:rPr>
        <w:t>南京航空航天大学金城学院</w:t>
      </w:r>
    </w:p>
    <w:p>
      <w:pPr>
        <w:spacing w:line="440" w:lineRule="exact"/>
        <w:jc w:val="center"/>
        <w:rPr>
          <w:rFonts w:eastAsia="方正仿宋简体"/>
          <w:sz w:val="32"/>
          <w:szCs w:val="32"/>
          <w:lang w:eastAsia="zh-CN"/>
        </w:rPr>
      </w:pPr>
      <w:r>
        <w:rPr>
          <w:rFonts w:hint="eastAsia" w:ascii="方正小标宋_GBK" w:eastAsia="方正小标宋_GBK"/>
          <w:sz w:val="32"/>
          <w:szCs w:val="32"/>
          <w:lang w:eastAsia="zh-CN"/>
        </w:rPr>
        <w:t>学生退学警示通知书</w:t>
      </w:r>
    </w:p>
    <w:p>
      <w:pPr>
        <w:spacing w:line="440" w:lineRule="exact"/>
        <w:jc w:val="center"/>
        <w:rPr>
          <w:rFonts w:ascii="方正仿宋_gbk" w:eastAsia="方正仿宋_gbk"/>
          <w:sz w:val="44"/>
          <w:szCs w:val="44"/>
          <w:lang w:eastAsia="zh-CN"/>
        </w:rPr>
      </w:pPr>
      <w:r>
        <w:rPr>
          <w:rFonts w:hint="eastAsia" w:ascii="方正仿宋_gbk" w:eastAsia="方正仿宋_gbk"/>
          <w:sz w:val="32"/>
          <w:szCs w:val="32"/>
          <w:lang w:eastAsia="zh-CN"/>
        </w:rPr>
        <w:t>上联</w:t>
      </w:r>
    </w:p>
    <w:p>
      <w:pPr>
        <w:spacing w:line="340" w:lineRule="exact"/>
        <w:ind w:firstLine="400" w:firstLineChars="200"/>
        <w:rPr>
          <w:rFonts w:ascii="方正仿宋_gbk" w:eastAsia="方正仿宋_gbk"/>
          <w:sz w:val="24"/>
        </w:rPr>
      </w:pPr>
      <w:r>
        <w:rPr>
          <w:rFonts w:hint="eastAsia" w:ascii="方正仿宋_gbk" w:eastAsia="方正仿宋_gbk"/>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6"/>
        <w:gridCol w:w="2635"/>
        <w:gridCol w:w="300"/>
        <w:gridCol w:w="1502"/>
        <w:gridCol w:w="2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1326" w:type="dxa"/>
            <w:vAlign w:val="center"/>
          </w:tcPr>
          <w:p>
            <w:pPr>
              <w:spacing w:line="340" w:lineRule="exact"/>
              <w:jc w:val="center"/>
              <w:rPr>
                <w:rFonts w:ascii="方正仿宋_gbk" w:eastAsia="方正仿宋_gbk"/>
              </w:rPr>
            </w:pPr>
            <w:r>
              <w:rPr>
                <w:rFonts w:hint="eastAsia" w:ascii="方正仿宋_gbk" w:eastAsia="方正仿宋_gbk"/>
              </w:rPr>
              <w:t>姓  名</w:t>
            </w:r>
          </w:p>
        </w:tc>
        <w:tc>
          <w:tcPr>
            <w:tcW w:w="2635" w:type="dxa"/>
            <w:vAlign w:val="center"/>
          </w:tcPr>
          <w:p>
            <w:pPr>
              <w:spacing w:line="340" w:lineRule="exact"/>
              <w:jc w:val="center"/>
              <w:rPr>
                <w:rFonts w:ascii="方正仿宋_gbk" w:eastAsia="方正仿宋_gbk"/>
              </w:rPr>
            </w:pPr>
          </w:p>
        </w:tc>
        <w:tc>
          <w:tcPr>
            <w:tcW w:w="1802" w:type="dxa"/>
            <w:gridSpan w:val="2"/>
            <w:vAlign w:val="center"/>
          </w:tcPr>
          <w:p>
            <w:pPr>
              <w:spacing w:line="340" w:lineRule="exact"/>
              <w:jc w:val="center"/>
              <w:rPr>
                <w:rFonts w:ascii="方正仿宋_gbk" w:eastAsia="方正仿宋_gbk"/>
              </w:rPr>
            </w:pPr>
            <w:r>
              <w:rPr>
                <w:rFonts w:hint="eastAsia" w:ascii="方正仿宋_gbk" w:eastAsia="方正仿宋_gbk"/>
              </w:rPr>
              <w:t>学  号</w:t>
            </w:r>
          </w:p>
        </w:tc>
        <w:tc>
          <w:tcPr>
            <w:tcW w:w="2759" w:type="dxa"/>
            <w:vAlign w:val="center"/>
          </w:tcPr>
          <w:p>
            <w:pPr>
              <w:spacing w:line="340" w:lineRule="exact"/>
              <w:jc w:val="center"/>
              <w:rPr>
                <w:rFonts w:ascii="方正仿宋_gbk" w:eastAsia="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326" w:type="dxa"/>
            <w:vAlign w:val="center"/>
          </w:tcPr>
          <w:p>
            <w:pPr>
              <w:spacing w:line="340" w:lineRule="exact"/>
              <w:jc w:val="center"/>
              <w:rPr>
                <w:rFonts w:ascii="方正仿宋_gbk" w:eastAsia="方正仿宋_gbk"/>
              </w:rPr>
            </w:pPr>
            <w:r>
              <w:rPr>
                <w:rFonts w:hint="eastAsia" w:ascii="方正仿宋_gbk" w:eastAsia="方正仿宋_gbk"/>
              </w:rPr>
              <w:t>学  院</w:t>
            </w:r>
          </w:p>
        </w:tc>
        <w:tc>
          <w:tcPr>
            <w:tcW w:w="2635" w:type="dxa"/>
            <w:vAlign w:val="center"/>
          </w:tcPr>
          <w:p>
            <w:pPr>
              <w:spacing w:line="340" w:lineRule="exact"/>
              <w:jc w:val="center"/>
              <w:rPr>
                <w:rFonts w:ascii="方正仿宋_gbk" w:eastAsia="方正仿宋_gbk"/>
              </w:rPr>
            </w:pPr>
          </w:p>
        </w:tc>
        <w:tc>
          <w:tcPr>
            <w:tcW w:w="1802" w:type="dxa"/>
            <w:gridSpan w:val="2"/>
            <w:vAlign w:val="center"/>
          </w:tcPr>
          <w:p>
            <w:pPr>
              <w:spacing w:line="340" w:lineRule="exact"/>
              <w:jc w:val="center"/>
              <w:rPr>
                <w:rFonts w:ascii="方正仿宋_gbk" w:eastAsia="方正仿宋_gbk"/>
              </w:rPr>
            </w:pPr>
            <w:r>
              <w:rPr>
                <w:rFonts w:hint="eastAsia" w:ascii="方正仿宋_gbk" w:eastAsia="方正仿宋_gbk"/>
              </w:rPr>
              <w:t>专  业</w:t>
            </w:r>
          </w:p>
        </w:tc>
        <w:tc>
          <w:tcPr>
            <w:tcW w:w="2759" w:type="dxa"/>
            <w:vAlign w:val="center"/>
          </w:tcPr>
          <w:p>
            <w:pPr>
              <w:spacing w:line="340" w:lineRule="exact"/>
              <w:jc w:val="center"/>
              <w:rPr>
                <w:rFonts w:ascii="方正仿宋_gbk" w:eastAsia="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3" w:hRule="atLeast"/>
          <w:jc w:val="center"/>
        </w:trPr>
        <w:tc>
          <w:tcPr>
            <w:tcW w:w="8522" w:type="dxa"/>
            <w:gridSpan w:val="5"/>
            <w:vAlign w:val="center"/>
          </w:tcPr>
          <w:p>
            <w:pPr>
              <w:spacing w:line="300" w:lineRule="exact"/>
              <w:ind w:left="200" w:leftChars="100" w:right="420"/>
              <w:rPr>
                <w:rFonts w:ascii="方正仿宋_gbk" w:eastAsia="方正仿宋_gbk"/>
                <w:lang w:eastAsia="zh-CN"/>
              </w:rPr>
            </w:pPr>
            <w:r>
              <w:rPr>
                <w:rFonts w:hint="eastAsia" w:ascii="方正仿宋_gbk" w:eastAsia="方正仿宋_gbk"/>
                <w:lang w:eastAsia="zh-CN"/>
              </w:rPr>
              <w:t>尊敬的家长：</w:t>
            </w:r>
          </w:p>
          <w:p>
            <w:pPr>
              <w:spacing w:line="300" w:lineRule="exact"/>
              <w:ind w:left="200" w:leftChars="100" w:right="200" w:rightChars="100" w:firstLine="400" w:firstLineChars="200"/>
              <w:rPr>
                <w:rFonts w:ascii="方正仿宋_gbk" w:eastAsia="方正仿宋_gbk"/>
                <w:lang w:eastAsia="zh-CN"/>
              </w:rPr>
            </w:pPr>
            <w:r>
              <w:rPr>
                <w:rFonts w:hint="eastAsia" w:ascii="方正仿宋_gbk" w:eastAsia="方正仿宋_gbk"/>
                <w:lang w:eastAsia="zh-CN"/>
              </w:rPr>
              <w:t>您好！您的孩子目前在学业上面临严重困难，累计已有门必修课程不及格，未获学分累计分，存在退学风险。根据《南京航空航天大学金城学院学业预警工作管理办法》，现给予</w:t>
            </w:r>
            <w:r>
              <w:rPr>
                <w:rFonts w:hint="eastAsia" w:ascii="方正仿宋_gbk" w:eastAsia="方正仿宋_gbk"/>
                <w:b/>
                <w:u w:val="double"/>
                <w:lang w:eastAsia="zh-CN"/>
              </w:rPr>
              <w:t>退学警示</w:t>
            </w:r>
            <w:r>
              <w:rPr>
                <w:rFonts w:hint="eastAsia" w:ascii="方正仿宋_gbk" w:eastAsia="方正仿宋_gbk"/>
                <w:lang w:eastAsia="zh-CN"/>
              </w:rPr>
              <w:t>。</w:t>
            </w:r>
          </w:p>
          <w:p>
            <w:pPr>
              <w:spacing w:line="300" w:lineRule="exact"/>
              <w:ind w:left="200" w:leftChars="100" w:right="200" w:rightChars="100" w:firstLine="400" w:firstLineChars="200"/>
              <w:rPr>
                <w:rFonts w:ascii="方正仿宋_gbk" w:eastAsia="方正仿宋_gbk"/>
                <w:szCs w:val="21"/>
                <w:lang w:eastAsia="zh-CN"/>
              </w:rPr>
            </w:pPr>
            <w:r>
              <w:rPr>
                <w:rFonts w:hint="eastAsia" w:ascii="方正仿宋_gbk" w:eastAsia="方正仿宋_gbk"/>
                <w:szCs w:val="21"/>
                <w:lang w:eastAsia="zh-CN"/>
              </w:rPr>
              <w:t>按照《南京航空航天大学金城学院本专科学生学籍管理规定》规定，学生成绩未达学校要求，应予以退学。</w:t>
            </w:r>
          </w:p>
          <w:p>
            <w:pPr>
              <w:spacing w:line="300" w:lineRule="exact"/>
              <w:ind w:left="200" w:leftChars="100" w:right="200" w:rightChars="100" w:firstLine="400" w:firstLineChars="200"/>
              <w:rPr>
                <w:rFonts w:ascii="方正仿宋_gbk" w:eastAsia="方正仿宋_gbk"/>
                <w:lang w:eastAsia="zh-CN"/>
              </w:rPr>
            </w:pPr>
            <w:r>
              <w:rPr>
                <w:rFonts w:hint="eastAsia" w:ascii="方正仿宋_gbk" w:eastAsia="方正仿宋_gbk"/>
                <w:lang w:eastAsia="zh-CN"/>
              </w:rPr>
              <w:t>我们通过《退学警示通知书》向您告知此事实，希望您在了解有关情况后及时与子女联系，配合学校共同督促教育，弥补差距，迎头赶上。请于收到本通知书后两周内将回执寄回。</w:t>
            </w:r>
          </w:p>
          <w:p>
            <w:pPr>
              <w:spacing w:line="300" w:lineRule="exact"/>
              <w:ind w:left="200" w:leftChars="100" w:right="200" w:rightChars="100" w:firstLine="400" w:firstLineChars="200"/>
              <w:rPr>
                <w:rFonts w:ascii="方正仿宋_gbk" w:eastAsia="方正仿宋_gbk"/>
                <w:lang w:eastAsia="zh-CN"/>
              </w:rPr>
            </w:pPr>
            <w:r>
              <w:rPr>
                <w:rFonts w:hint="eastAsia" w:ascii="方正仿宋_gbk" w:eastAsia="方正仿宋_gbk"/>
                <w:lang w:eastAsia="zh-CN"/>
              </w:rPr>
              <w:t>衷心感谢您的理解与支持！</w:t>
            </w:r>
          </w:p>
          <w:p>
            <w:pPr>
              <w:spacing w:line="300" w:lineRule="exact"/>
              <w:ind w:right="420" w:firstLine="400" w:firstLineChars="200"/>
              <w:rPr>
                <w:rFonts w:ascii="方正仿宋_gbk" w:eastAsia="方正仿宋_gbk"/>
                <w:lang w:eastAsia="zh-CN"/>
              </w:rPr>
            </w:pPr>
            <w:r>
              <w:rPr>
                <w:rFonts w:hint="eastAsia" w:ascii="方正仿宋_gbk" w:eastAsia="方正仿宋_gbk"/>
                <w:lang w:eastAsia="zh-CN"/>
              </w:rPr>
              <w:t>辅导员：  联系电话：</w:t>
            </w:r>
          </w:p>
          <w:p>
            <w:pPr>
              <w:spacing w:line="300" w:lineRule="exact"/>
              <w:ind w:left="4900" w:leftChars="200" w:right="420" w:hanging="4500" w:hangingChars="2250"/>
              <w:rPr>
                <w:rFonts w:ascii="方正仿宋_gbk" w:eastAsia="方正仿宋_gbk"/>
                <w:u w:val="single"/>
                <w:lang w:eastAsia="zh-CN"/>
              </w:rPr>
            </w:pPr>
            <w:r>
              <w:rPr>
                <w:rFonts w:hint="eastAsia" w:ascii="方正仿宋_gbk" w:eastAsia="方正仿宋_gbk"/>
                <w:lang w:eastAsia="zh-CN"/>
              </w:rPr>
              <w:t>通讯地址： 邮编：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jc w:val="center"/>
        </w:trPr>
        <w:tc>
          <w:tcPr>
            <w:tcW w:w="4261" w:type="dxa"/>
            <w:gridSpan w:val="3"/>
            <w:vAlign w:val="center"/>
          </w:tcPr>
          <w:p>
            <w:pPr>
              <w:spacing w:line="340" w:lineRule="exact"/>
              <w:ind w:right="420" w:firstLine="400" w:firstLineChars="200"/>
              <w:rPr>
                <w:rFonts w:ascii="方正仿宋_gbk" w:eastAsia="方正仿宋_gbk"/>
                <w:lang w:eastAsia="zh-CN"/>
              </w:rPr>
            </w:pPr>
            <w:r>
              <w:rPr>
                <w:rFonts w:hint="eastAsia" w:ascii="方正仿宋_gbk" w:eastAsia="方正仿宋_gbk"/>
                <w:lang w:eastAsia="zh-CN"/>
              </w:rPr>
              <w:t>学院意见（盖章）：</w:t>
            </w:r>
          </w:p>
          <w:p>
            <w:pPr>
              <w:spacing w:line="340" w:lineRule="exact"/>
              <w:ind w:right="420" w:firstLine="400" w:firstLineChars="200"/>
              <w:rPr>
                <w:rFonts w:ascii="方正仿宋_gbk" w:eastAsia="方正仿宋_gbk"/>
                <w:lang w:eastAsia="zh-CN"/>
              </w:rPr>
            </w:pPr>
          </w:p>
          <w:p>
            <w:pPr>
              <w:spacing w:line="340" w:lineRule="exact"/>
              <w:ind w:right="420" w:firstLine="400" w:firstLineChars="200"/>
              <w:rPr>
                <w:rFonts w:ascii="方正仿宋_gbk" w:eastAsia="方正仿宋_gbk"/>
                <w:lang w:eastAsia="zh-CN"/>
              </w:rPr>
            </w:pPr>
          </w:p>
          <w:p>
            <w:pPr>
              <w:spacing w:line="340" w:lineRule="exact"/>
              <w:ind w:right="630"/>
              <w:jc w:val="right"/>
              <w:rPr>
                <w:rFonts w:ascii="方正仿宋_gbk" w:eastAsia="方正仿宋_gbk"/>
                <w:lang w:eastAsia="zh-CN"/>
              </w:rPr>
            </w:pPr>
            <w:r>
              <w:rPr>
                <w:rFonts w:hint="eastAsia" w:ascii="方正仿宋_gbk" w:eastAsia="方正仿宋_gbk"/>
                <w:lang w:eastAsia="zh-CN"/>
              </w:rPr>
              <w:t>日期：    年  月  日</w:t>
            </w:r>
          </w:p>
        </w:tc>
        <w:tc>
          <w:tcPr>
            <w:tcW w:w="4261" w:type="dxa"/>
            <w:gridSpan w:val="2"/>
            <w:vAlign w:val="center"/>
          </w:tcPr>
          <w:p>
            <w:pPr>
              <w:spacing w:line="340" w:lineRule="exact"/>
              <w:ind w:right="420" w:firstLine="400" w:firstLineChars="200"/>
              <w:rPr>
                <w:rFonts w:ascii="方正仿宋_gbk" w:eastAsia="方正仿宋_gbk"/>
                <w:lang w:eastAsia="zh-CN"/>
              </w:rPr>
            </w:pPr>
            <w:r>
              <w:rPr>
                <w:rFonts w:hint="eastAsia" w:ascii="方正仿宋_gbk" w:eastAsia="方正仿宋_gbk"/>
                <w:lang w:eastAsia="zh-CN"/>
              </w:rPr>
              <w:t>教学科研处意见（盖章）：</w:t>
            </w:r>
          </w:p>
          <w:p>
            <w:pPr>
              <w:spacing w:line="340" w:lineRule="exact"/>
              <w:ind w:right="420" w:firstLine="400" w:firstLineChars="200"/>
              <w:rPr>
                <w:rFonts w:ascii="方正仿宋_gbk" w:eastAsia="方正仿宋_gbk"/>
                <w:lang w:eastAsia="zh-CN"/>
              </w:rPr>
            </w:pPr>
          </w:p>
          <w:p>
            <w:pPr>
              <w:spacing w:line="340" w:lineRule="exact"/>
              <w:ind w:right="420" w:firstLine="400" w:firstLineChars="200"/>
              <w:rPr>
                <w:rFonts w:ascii="方正仿宋_gbk" w:eastAsia="方正仿宋_gbk"/>
                <w:lang w:eastAsia="zh-CN"/>
              </w:rPr>
            </w:pPr>
          </w:p>
          <w:p>
            <w:pPr>
              <w:spacing w:line="340" w:lineRule="exact"/>
              <w:ind w:right="630"/>
              <w:jc w:val="right"/>
              <w:rPr>
                <w:rFonts w:ascii="方正仿宋_gbk" w:eastAsia="方正仿宋_gbk"/>
              </w:rPr>
            </w:pPr>
            <w:r>
              <w:rPr>
                <w:rFonts w:hint="eastAsia" w:ascii="方正仿宋_gbk" w:eastAsia="方正仿宋_gbk"/>
              </w:rPr>
              <w:t>日期：    年  月  日</w:t>
            </w:r>
          </w:p>
        </w:tc>
      </w:tr>
    </w:tbl>
    <w:p>
      <w:pPr>
        <w:ind w:firstLine="400" w:firstLineChars="200"/>
        <w:rPr>
          <w:rFonts w:ascii="方正仿宋_gbk" w:eastAsia="方正仿宋_gbk"/>
        </w:rPr>
      </w:pPr>
      <w:r>
        <w:rPr>
          <w:rFonts w:hint="eastAsia" w:ascii="方正仿宋_gbk" w:eastAsia="方正仿宋_gbk"/>
        </w:rPr>
        <w:t>----------------------------------------------------------------------------</w:t>
      </w:r>
    </w:p>
    <w:p>
      <w:pPr>
        <w:spacing w:line="440" w:lineRule="exact"/>
        <w:jc w:val="center"/>
        <w:rPr>
          <w:rFonts w:ascii="方正小标宋_GBK" w:eastAsia="方正小标宋_GBK"/>
          <w:sz w:val="44"/>
          <w:szCs w:val="44"/>
        </w:rPr>
      </w:pPr>
      <w:r>
        <w:rPr>
          <w:rFonts w:hint="eastAsia" w:ascii="方正小标宋_GBK" w:eastAsia="方正小标宋_GBK"/>
          <w:sz w:val="36"/>
          <w:szCs w:val="36"/>
        </w:rPr>
        <w:t>退学警示通知回执</w:t>
      </w:r>
    </w:p>
    <w:p>
      <w:pPr>
        <w:spacing w:line="440" w:lineRule="exact"/>
        <w:jc w:val="center"/>
        <w:rPr>
          <w:rFonts w:ascii="方正仿宋_gbk" w:eastAsia="方正仿宋_gbk"/>
          <w:sz w:val="44"/>
          <w:szCs w:val="44"/>
        </w:rPr>
      </w:pPr>
      <w:r>
        <w:rPr>
          <w:rFonts w:hint="eastAsia" w:ascii="方正仿宋_gbk" w:eastAsia="方正仿宋_gbk"/>
          <w:sz w:val="32"/>
          <w:szCs w:val="32"/>
        </w:rPr>
        <w:t>下联</w:t>
      </w:r>
    </w:p>
    <w:p>
      <w:pPr>
        <w:spacing w:line="340" w:lineRule="exact"/>
        <w:ind w:firstLine="400" w:firstLineChars="200"/>
        <w:rPr>
          <w:rFonts w:ascii="方正仿宋_gbk" w:eastAsia="方正仿宋_gbk"/>
        </w:rPr>
      </w:pPr>
      <w:r>
        <w:rPr>
          <w:rFonts w:hint="eastAsia" w:ascii="方正仿宋_gbk" w:eastAsia="方正仿宋_gbk"/>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858"/>
        <w:gridCol w:w="1308"/>
        <w:gridCol w:w="1327"/>
        <w:gridCol w:w="1802"/>
        <w:gridCol w:w="85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326" w:type="dxa"/>
            <w:gridSpan w:val="2"/>
            <w:vAlign w:val="center"/>
          </w:tcPr>
          <w:p>
            <w:pPr>
              <w:spacing w:line="340" w:lineRule="exact"/>
              <w:jc w:val="center"/>
              <w:rPr>
                <w:rFonts w:ascii="方正仿宋_gbk" w:eastAsia="方正仿宋_gbk"/>
              </w:rPr>
            </w:pPr>
            <w:r>
              <w:rPr>
                <w:rFonts w:hint="eastAsia" w:ascii="方正仿宋_gbk" w:eastAsia="方正仿宋_gbk"/>
              </w:rPr>
              <w:t>姓  名</w:t>
            </w:r>
          </w:p>
        </w:tc>
        <w:tc>
          <w:tcPr>
            <w:tcW w:w="1308" w:type="dxa"/>
            <w:vAlign w:val="center"/>
          </w:tcPr>
          <w:p>
            <w:pPr>
              <w:spacing w:line="340" w:lineRule="exact"/>
              <w:jc w:val="center"/>
              <w:rPr>
                <w:rFonts w:ascii="方正仿宋_gbk" w:eastAsia="方正仿宋_gbk"/>
              </w:rPr>
            </w:pPr>
          </w:p>
        </w:tc>
        <w:tc>
          <w:tcPr>
            <w:tcW w:w="1327" w:type="dxa"/>
            <w:vAlign w:val="center"/>
          </w:tcPr>
          <w:p>
            <w:pPr>
              <w:spacing w:line="340" w:lineRule="exact"/>
              <w:jc w:val="center"/>
              <w:rPr>
                <w:rFonts w:ascii="方正仿宋_gbk" w:eastAsia="方正仿宋_gbk"/>
              </w:rPr>
            </w:pPr>
            <w:r>
              <w:rPr>
                <w:rFonts w:hint="eastAsia" w:ascii="方正仿宋_gbk" w:eastAsia="方正仿宋_gbk"/>
              </w:rPr>
              <w:t>学  号</w:t>
            </w:r>
          </w:p>
        </w:tc>
        <w:tc>
          <w:tcPr>
            <w:tcW w:w="1802" w:type="dxa"/>
            <w:vAlign w:val="center"/>
          </w:tcPr>
          <w:p>
            <w:pPr>
              <w:spacing w:line="340" w:lineRule="exact"/>
              <w:jc w:val="center"/>
              <w:rPr>
                <w:rFonts w:ascii="方正仿宋_gbk" w:eastAsia="方正仿宋_gbk"/>
              </w:rPr>
            </w:pPr>
          </w:p>
        </w:tc>
        <w:tc>
          <w:tcPr>
            <w:tcW w:w="853" w:type="dxa"/>
            <w:vAlign w:val="center"/>
          </w:tcPr>
          <w:p>
            <w:pPr>
              <w:spacing w:line="340" w:lineRule="exact"/>
              <w:jc w:val="center"/>
              <w:rPr>
                <w:rFonts w:ascii="方正仿宋_gbk" w:eastAsia="方正仿宋_gbk"/>
              </w:rPr>
            </w:pPr>
            <w:r>
              <w:rPr>
                <w:rFonts w:hint="eastAsia" w:ascii="方正仿宋_gbk" w:eastAsia="方正仿宋_gbk"/>
              </w:rPr>
              <w:t>专  业</w:t>
            </w:r>
          </w:p>
        </w:tc>
        <w:tc>
          <w:tcPr>
            <w:tcW w:w="1906" w:type="dxa"/>
            <w:vAlign w:val="center"/>
          </w:tcPr>
          <w:p>
            <w:pPr>
              <w:spacing w:line="340" w:lineRule="exact"/>
              <w:jc w:val="center"/>
              <w:rPr>
                <w:rFonts w:ascii="方正仿宋_gbk" w:eastAsia="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68" w:type="dxa"/>
            <w:vAlign w:val="center"/>
          </w:tcPr>
          <w:p>
            <w:pPr>
              <w:spacing w:line="400" w:lineRule="exact"/>
              <w:jc w:val="center"/>
              <w:rPr>
                <w:rFonts w:ascii="方正仿宋_gbk" w:eastAsia="方正仿宋_gbk"/>
              </w:rPr>
            </w:pPr>
            <w:r>
              <w:rPr>
                <w:rFonts w:hint="eastAsia" w:ascii="方正仿宋_gbk" w:eastAsia="方正仿宋_gbk"/>
              </w:rPr>
              <w:t>家</w:t>
            </w:r>
          </w:p>
          <w:p>
            <w:pPr>
              <w:spacing w:line="400" w:lineRule="exact"/>
              <w:jc w:val="center"/>
              <w:rPr>
                <w:rFonts w:ascii="方正仿宋_gbk" w:eastAsia="方正仿宋_gbk"/>
              </w:rPr>
            </w:pPr>
            <w:r>
              <w:rPr>
                <w:rFonts w:hint="eastAsia" w:ascii="方正仿宋_gbk" w:eastAsia="方正仿宋_gbk"/>
              </w:rPr>
              <w:t>长</w:t>
            </w:r>
          </w:p>
          <w:p>
            <w:pPr>
              <w:spacing w:line="400" w:lineRule="exact"/>
              <w:jc w:val="center"/>
              <w:rPr>
                <w:rFonts w:ascii="方正仿宋_gbk" w:eastAsia="方正仿宋_gbk"/>
              </w:rPr>
            </w:pPr>
            <w:r>
              <w:rPr>
                <w:rFonts w:hint="eastAsia" w:ascii="方正仿宋_gbk" w:eastAsia="方正仿宋_gbk"/>
              </w:rPr>
              <w:t>意</w:t>
            </w:r>
          </w:p>
          <w:p>
            <w:pPr>
              <w:spacing w:line="400" w:lineRule="exact"/>
              <w:jc w:val="center"/>
              <w:rPr>
                <w:rFonts w:ascii="方正仿宋_gbk" w:eastAsia="方正仿宋_gbk"/>
              </w:rPr>
            </w:pPr>
            <w:r>
              <w:rPr>
                <w:rFonts w:hint="eastAsia" w:ascii="方正仿宋_gbk" w:eastAsia="方正仿宋_gbk"/>
              </w:rPr>
              <w:t>见</w:t>
            </w:r>
          </w:p>
        </w:tc>
        <w:tc>
          <w:tcPr>
            <w:tcW w:w="8054" w:type="dxa"/>
            <w:gridSpan w:val="6"/>
          </w:tcPr>
          <w:p>
            <w:pPr>
              <w:spacing w:line="300" w:lineRule="exact"/>
              <w:ind w:firstLine="400" w:firstLineChars="200"/>
              <w:rPr>
                <w:rFonts w:ascii="方正仿宋_gbk" w:eastAsia="方正仿宋_gbk"/>
                <w:szCs w:val="21"/>
                <w:lang w:eastAsia="zh-CN"/>
              </w:rPr>
            </w:pPr>
          </w:p>
          <w:p>
            <w:pPr>
              <w:spacing w:line="300" w:lineRule="exact"/>
              <w:ind w:firstLine="400" w:firstLineChars="200"/>
              <w:rPr>
                <w:rFonts w:ascii="方正仿宋_gbk" w:eastAsia="方正仿宋_gbk"/>
                <w:szCs w:val="21"/>
                <w:lang w:eastAsia="zh-CN"/>
              </w:rPr>
            </w:pPr>
            <w:r>
              <w:rPr>
                <w:rFonts w:hint="eastAsia" w:ascii="方正仿宋_gbk" w:eastAsia="方正仿宋_gbk"/>
                <w:szCs w:val="21"/>
                <w:lang w:eastAsia="zh-CN"/>
              </w:rPr>
              <w:t>1、学生目前的情况家长已了解。（是□/否□）</w:t>
            </w:r>
          </w:p>
          <w:p>
            <w:pPr>
              <w:spacing w:line="300" w:lineRule="exact"/>
              <w:ind w:firstLine="400" w:firstLineChars="200"/>
              <w:rPr>
                <w:rFonts w:ascii="方正仿宋_gbk" w:eastAsia="方正仿宋_gbk"/>
                <w:szCs w:val="21"/>
                <w:lang w:eastAsia="zh-CN"/>
              </w:rPr>
            </w:pPr>
            <w:r>
              <w:rPr>
                <w:rFonts w:hint="eastAsia" w:ascii="方正仿宋_gbk" w:eastAsia="方正仿宋_gbk"/>
                <w:szCs w:val="21"/>
                <w:lang w:eastAsia="zh-CN"/>
              </w:rPr>
              <w:t>2、院系的联系办法家长已清楚。（是□/否□）</w:t>
            </w:r>
          </w:p>
          <w:p>
            <w:pPr>
              <w:spacing w:line="360" w:lineRule="exact"/>
              <w:ind w:right="1600" w:rightChars="800" w:firstLine="400" w:firstLineChars="200"/>
              <w:rPr>
                <w:rFonts w:ascii="方正仿宋_gbk" w:eastAsia="方正仿宋_gbk"/>
                <w:lang w:eastAsia="zh-CN"/>
              </w:rPr>
            </w:pPr>
            <w:r>
              <w:rPr>
                <w:rFonts w:hint="eastAsia" w:ascii="方正仿宋_gbk" w:eastAsia="方正仿宋_gbk"/>
                <w:szCs w:val="21"/>
                <w:lang w:eastAsia="zh-CN"/>
              </w:rPr>
              <w:t>3、您的想法、建议（可另附纸）：</w:t>
            </w:r>
          </w:p>
          <w:p>
            <w:pPr>
              <w:spacing w:line="360" w:lineRule="exact"/>
              <w:ind w:right="1600" w:rightChars="800"/>
              <w:jc w:val="right"/>
              <w:rPr>
                <w:rFonts w:ascii="方正仿宋_gbk" w:eastAsia="方正仿宋_gbk"/>
                <w:lang w:eastAsia="zh-CN"/>
              </w:rPr>
            </w:pPr>
          </w:p>
          <w:p>
            <w:pPr>
              <w:spacing w:line="360" w:lineRule="exact"/>
              <w:ind w:right="1600" w:rightChars="800"/>
              <w:jc w:val="right"/>
              <w:rPr>
                <w:rFonts w:ascii="方正仿宋_gbk" w:eastAsia="方正仿宋_gbk"/>
                <w:lang w:eastAsia="zh-CN"/>
              </w:rPr>
            </w:pPr>
          </w:p>
          <w:p>
            <w:pPr>
              <w:spacing w:line="360" w:lineRule="exact"/>
              <w:ind w:right="1600" w:rightChars="800"/>
              <w:jc w:val="right"/>
              <w:rPr>
                <w:rFonts w:ascii="方正仿宋_gbk" w:eastAsia="方正仿宋_gbk"/>
                <w:lang w:eastAsia="zh-CN"/>
              </w:rPr>
            </w:pPr>
            <w:r>
              <w:rPr>
                <w:rFonts w:hint="eastAsia" w:ascii="方正仿宋_gbk" w:eastAsia="方正仿宋_gbk"/>
                <w:lang w:eastAsia="zh-CN"/>
              </w:rPr>
              <w:t xml:space="preserve">家长签名：      </w:t>
            </w:r>
          </w:p>
          <w:p>
            <w:pPr>
              <w:spacing w:line="360" w:lineRule="exact"/>
              <w:ind w:right="800" w:rightChars="400"/>
              <w:jc w:val="right"/>
              <w:rPr>
                <w:rFonts w:ascii="方正仿宋_gbk" w:eastAsia="方正仿宋_gbk"/>
                <w:lang w:eastAsia="zh-CN"/>
              </w:rPr>
            </w:pPr>
            <w:r>
              <w:rPr>
                <w:rFonts w:hint="eastAsia" w:ascii="方正仿宋_gbk" w:eastAsia="方正仿宋_gbk"/>
                <w:lang w:eastAsia="zh-CN"/>
              </w:rPr>
              <w:t>日期：    年  月  日</w:t>
            </w:r>
          </w:p>
        </w:tc>
      </w:tr>
    </w:tbl>
    <w:p>
      <w:pPr>
        <w:pStyle w:val="14"/>
        <w:spacing w:after="140" w:line="293" w:lineRule="exact"/>
        <w:ind w:firstLine="0"/>
        <w:rPr>
          <w:b/>
          <w:bCs/>
          <w:color w:val="auto"/>
          <w:sz w:val="38"/>
          <w:szCs w:val="38"/>
        </w:rPr>
      </w:pPr>
      <w:r>
        <w:rPr>
          <w:rFonts w:hint="eastAsia" w:ascii="方正仿宋_gbk" w:eastAsia="方正仿宋_gbk"/>
        </w:rPr>
        <w:t>注：请于收到本通知书后两周内将回执寄回，谢谢配合。通讯地址见上联。</w:t>
      </w:r>
      <w:r>
        <w:rPr>
          <w:b/>
          <w:bCs/>
          <w:color w:val="auto"/>
          <w:lang w:eastAsia="zh-CN"/>
        </w:rPr>
        <w:br w:type="page"/>
      </w:r>
    </w:p>
    <w:p>
      <w:pPr>
        <w:pStyle w:val="12"/>
        <w:keepNext/>
        <w:keepLines/>
        <w:spacing w:before="0" w:after="60" w:line="595" w:lineRule="exact"/>
        <w:rPr>
          <w:rFonts w:hint="eastAsia" w:eastAsia="宋体"/>
          <w:b w:val="0"/>
          <w:bCs w:val="0"/>
          <w:color w:val="auto"/>
          <w:lang w:eastAsia="zh-CN"/>
        </w:rPr>
      </w:pPr>
      <w:r>
        <w:rPr>
          <w:b w:val="0"/>
          <w:bCs w:val="0"/>
          <w:color w:val="auto"/>
        </w:rPr>
        <w:t>南京航空航天大学金城学院</w:t>
      </w:r>
    </w:p>
    <w:p>
      <w:pPr>
        <w:pStyle w:val="12"/>
        <w:keepNext/>
        <w:keepLines/>
        <w:spacing w:before="0" w:after="60" w:line="595" w:lineRule="exact"/>
        <w:rPr>
          <w:b w:val="0"/>
          <w:bCs w:val="0"/>
          <w:color w:val="auto"/>
        </w:rPr>
      </w:pPr>
      <w:r>
        <w:rPr>
          <w:b w:val="0"/>
          <w:bCs w:val="0"/>
          <w:color w:val="auto"/>
        </w:rPr>
        <w:t>本科生选课管理办法</w:t>
      </w:r>
      <w:bookmarkEnd w:id="248"/>
      <w:bookmarkEnd w:id="249"/>
      <w:bookmarkEnd w:id="250"/>
    </w:p>
    <w:p>
      <w:pPr>
        <w:pStyle w:val="14"/>
        <w:spacing w:after="280" w:line="299" w:lineRule="exact"/>
        <w:ind w:firstLine="0"/>
        <w:jc w:val="center"/>
        <w:rPr>
          <w:color w:val="auto"/>
        </w:rPr>
      </w:pPr>
      <w:r>
        <w:rPr>
          <w:color w:val="auto"/>
          <w:szCs w:val="20"/>
        </w:rPr>
        <w:t>（</w:t>
      </w:r>
      <w:r>
        <w:rPr>
          <w:rFonts w:ascii="Times New Roman" w:hAnsi="Times New Roman" w:eastAsia="Times New Roman" w:cs="Times New Roman"/>
          <w:color w:val="auto"/>
          <w:sz w:val="20"/>
          <w:szCs w:val="20"/>
        </w:rPr>
        <w:t>2015</w:t>
      </w:r>
      <w:r>
        <w:rPr>
          <w:color w:val="auto"/>
        </w:rPr>
        <w:t>年</w:t>
      </w:r>
      <w:r>
        <w:rPr>
          <w:rFonts w:ascii="Times New Roman" w:hAnsi="Times New Roman" w:eastAsia="Times New Roman" w:cs="Times New Roman"/>
          <w:color w:val="auto"/>
          <w:sz w:val="20"/>
          <w:szCs w:val="20"/>
        </w:rPr>
        <w:t>7</w:t>
      </w:r>
      <w:r>
        <w:rPr>
          <w:color w:val="auto"/>
        </w:rPr>
        <w:t>月</w:t>
      </w:r>
      <w:r>
        <w:rPr>
          <w:rFonts w:ascii="Times New Roman" w:hAnsi="Times New Roman" w:eastAsia="Times New Roman" w:cs="Times New Roman"/>
          <w:color w:val="auto"/>
          <w:sz w:val="20"/>
          <w:szCs w:val="20"/>
        </w:rPr>
        <w:t>3</w:t>
      </w:r>
      <w:r>
        <w:rPr>
          <w:color w:val="auto"/>
        </w:rPr>
        <w:t>日修订）</w:t>
      </w:r>
    </w:p>
    <w:p>
      <w:pPr>
        <w:pStyle w:val="14"/>
        <w:spacing w:line="299" w:lineRule="exact"/>
        <w:ind w:firstLine="420"/>
        <w:jc w:val="both"/>
        <w:rPr>
          <w:color w:val="auto"/>
        </w:rPr>
      </w:pPr>
      <w:r>
        <w:rPr>
          <w:color w:val="auto"/>
        </w:rPr>
        <w:t>实行选课制是促进学生全面发展、自主发展、主动发展的重要举措，有利于学生整体把握专业内涵，系统了解培养方案要求，发挥学习主动性和积极性，实现知识能力素质协调发展。为规范选课过程，提高选课效率，充分利用和合理调配教学资源，根据《南京航空航天大学金城学院本科生学籍管理办法》和本科生培养方案的相关规定和要求，结合我校选课管理网络系统的操作特点，特制定本办法。</w:t>
      </w:r>
    </w:p>
    <w:p>
      <w:pPr>
        <w:pStyle w:val="14"/>
        <w:spacing w:line="299" w:lineRule="exact"/>
        <w:ind w:firstLine="420"/>
        <w:jc w:val="both"/>
        <w:rPr>
          <w:color w:val="auto"/>
        </w:rPr>
      </w:pPr>
      <w:r>
        <w:rPr>
          <w:b/>
          <w:bCs/>
          <w:color w:val="auto"/>
          <w:lang w:val="zh-CN" w:eastAsia="zh-CN" w:bidi="zh-CN"/>
        </w:rPr>
        <w:t>第一条</w:t>
      </w:r>
      <w:r>
        <w:rPr>
          <w:color w:val="auto"/>
        </w:rPr>
        <w:t>课程分类</w:t>
      </w:r>
    </w:p>
    <w:p>
      <w:pPr>
        <w:pStyle w:val="14"/>
        <w:spacing w:line="299" w:lineRule="exact"/>
        <w:ind w:firstLine="420"/>
        <w:jc w:val="both"/>
        <w:rPr>
          <w:color w:val="auto"/>
          <w:sz w:val="20"/>
          <w:szCs w:val="20"/>
        </w:rPr>
      </w:pPr>
      <w:r>
        <w:rPr>
          <w:color w:val="auto"/>
        </w:rPr>
        <w:t>按照教学计划的分类，课程共分为必修课、专业选修课、文化素质课三大类。各类课程的规定及修读要求见教学计划</w:t>
      </w:r>
      <w:r>
        <w:rPr>
          <w:rFonts w:hint="eastAsia"/>
          <w:color w:val="auto"/>
          <w:sz w:val="20"/>
          <w:szCs w:val="20"/>
          <w:lang w:val="en-US" w:eastAsia="zh-CN" w:bidi="en-US"/>
        </w:rPr>
        <w:t>。</w:t>
      </w:r>
    </w:p>
    <w:p>
      <w:pPr>
        <w:pStyle w:val="14"/>
        <w:spacing w:line="299" w:lineRule="exact"/>
        <w:ind w:firstLine="420"/>
        <w:jc w:val="both"/>
        <w:rPr>
          <w:color w:val="auto"/>
        </w:rPr>
      </w:pPr>
      <w:r>
        <w:rPr>
          <w:b/>
          <w:bCs/>
          <w:color w:val="auto"/>
        </w:rPr>
        <w:t>第二条</w:t>
      </w:r>
      <w:r>
        <w:rPr>
          <w:color w:val="auto"/>
        </w:rPr>
        <w:t>选课管理原则</w:t>
      </w:r>
    </w:p>
    <w:p>
      <w:pPr>
        <w:pStyle w:val="14"/>
        <w:spacing w:line="299" w:lineRule="exact"/>
        <w:ind w:firstLine="420"/>
        <w:jc w:val="both"/>
        <w:rPr>
          <w:color w:val="auto"/>
        </w:rPr>
      </w:pPr>
      <w:r>
        <w:rPr>
          <w:color w:val="auto"/>
        </w:rPr>
        <w:t>（一）依据专业培养要求，尊重学生意愿，兼顾教学资源的调配。</w:t>
      </w:r>
    </w:p>
    <w:p>
      <w:pPr>
        <w:pStyle w:val="14"/>
        <w:spacing w:line="299" w:lineRule="exact"/>
        <w:ind w:firstLine="420"/>
        <w:jc w:val="both"/>
        <w:rPr>
          <w:color w:val="auto"/>
        </w:rPr>
      </w:pPr>
      <w:r>
        <w:rPr>
          <w:color w:val="auto"/>
        </w:rPr>
        <w:t>（二）实行网络选课，分阶段实施，分类管理。</w:t>
      </w:r>
    </w:p>
    <w:p>
      <w:pPr>
        <w:pStyle w:val="14"/>
        <w:spacing w:line="299" w:lineRule="exact"/>
        <w:ind w:firstLine="420"/>
        <w:jc w:val="both"/>
        <w:rPr>
          <w:color w:val="auto"/>
        </w:rPr>
      </w:pPr>
      <w:r>
        <w:rPr>
          <w:color w:val="auto"/>
        </w:rPr>
        <w:t>（三）发挥班主任导学作用，学生自主选课。</w:t>
      </w:r>
    </w:p>
    <w:p>
      <w:pPr>
        <w:pStyle w:val="14"/>
        <w:spacing w:line="299" w:lineRule="exact"/>
        <w:ind w:firstLine="420"/>
        <w:jc w:val="both"/>
        <w:rPr>
          <w:color w:val="auto"/>
        </w:rPr>
      </w:pPr>
      <w:r>
        <w:rPr>
          <w:b/>
          <w:bCs/>
          <w:color w:val="auto"/>
        </w:rPr>
        <w:t>第三条</w:t>
      </w:r>
      <w:r>
        <w:rPr>
          <w:color w:val="auto"/>
        </w:rPr>
        <w:t>选课基本要求</w:t>
      </w:r>
    </w:p>
    <w:p>
      <w:pPr>
        <w:pStyle w:val="14"/>
        <w:spacing w:line="299" w:lineRule="exact"/>
        <w:ind w:firstLine="420"/>
        <w:jc w:val="both"/>
        <w:rPr>
          <w:color w:val="auto"/>
        </w:rPr>
      </w:pPr>
      <w:r>
        <w:rPr>
          <w:color w:val="auto"/>
          <w:lang w:val="en-US" w:eastAsia="zh-CN" w:bidi="en-US"/>
        </w:rPr>
        <w:t>（</w:t>
      </w:r>
      <w:r>
        <w:rPr>
          <w:rFonts w:hint="eastAsia"/>
          <w:color w:val="auto"/>
          <w:lang w:val="en-US" w:eastAsia="zh-CN" w:bidi="en-US"/>
        </w:rPr>
        <w:t>一</w:t>
      </w:r>
      <w:r>
        <w:rPr>
          <w:color w:val="auto"/>
          <w:lang w:val="en-US" w:eastAsia="zh-CN" w:bidi="en-US"/>
        </w:rPr>
        <w:t>）</w:t>
      </w:r>
      <w:r>
        <w:rPr>
          <w:color w:val="auto"/>
        </w:rPr>
        <w:t>学生应在规定时间办理注册手续，未注册学生不得选课。</w:t>
      </w:r>
    </w:p>
    <w:p>
      <w:pPr>
        <w:pStyle w:val="14"/>
        <w:spacing w:line="299" w:lineRule="exact"/>
        <w:ind w:firstLine="420"/>
        <w:jc w:val="both"/>
        <w:rPr>
          <w:color w:val="auto"/>
        </w:rPr>
      </w:pPr>
      <w:r>
        <w:rPr>
          <w:color w:val="auto"/>
        </w:rPr>
        <w:t>（二）各专业的教学计划中均对各类课程的修读提出明确的要求。学生一般按教学计划安排的学期选择必修课程</w:t>
      </w:r>
      <w:r>
        <w:rPr>
          <w:rFonts w:hint="eastAsia"/>
          <w:color w:val="auto"/>
        </w:rPr>
        <w:t>；</w:t>
      </w:r>
      <w:r>
        <w:rPr>
          <w:color w:val="auto"/>
        </w:rPr>
        <w:t>根据每学期选修课应修学分数、各组规定的应修学分数的要求选</w:t>
      </w:r>
      <w:r>
        <w:rPr>
          <w:rFonts w:hint="eastAsia"/>
          <w:color w:val="auto"/>
        </w:rPr>
        <w:t>择课</w:t>
      </w:r>
      <w:r>
        <w:rPr>
          <w:color w:val="auto"/>
        </w:rPr>
        <w:t>程，不得随意选课。</w:t>
      </w:r>
    </w:p>
    <w:p>
      <w:pPr>
        <w:pStyle w:val="14"/>
        <w:spacing w:after="60" w:line="299" w:lineRule="exact"/>
        <w:ind w:firstLine="420"/>
        <w:jc w:val="both"/>
        <w:rPr>
          <w:color w:val="auto"/>
        </w:rPr>
      </w:pPr>
      <w:r>
        <w:rPr>
          <w:color w:val="auto"/>
        </w:rPr>
        <w:t>（三）文化素质课，学生按课程分组的相应学分要求进行选课，在同一组内确定多门备选课程并给出优先顺序，但每个模块最多只能选中</w:t>
      </w:r>
      <w:r>
        <w:rPr>
          <w:rFonts w:ascii="Times New Roman" w:hAnsi="Times New Roman" w:eastAsia="Times New Roman" w:cs="Times New Roman"/>
          <w:color w:val="auto"/>
          <w:sz w:val="20"/>
          <w:szCs w:val="20"/>
        </w:rPr>
        <w:t>1</w:t>
      </w:r>
      <w:r>
        <w:rPr>
          <w:color w:val="auto"/>
        </w:rPr>
        <w:t>门。</w:t>
      </w:r>
    </w:p>
    <w:p>
      <w:pPr>
        <w:pStyle w:val="14"/>
        <w:spacing w:line="264" w:lineRule="exact"/>
        <w:ind w:firstLine="420"/>
        <w:jc w:val="both"/>
        <w:rPr>
          <w:color w:val="auto"/>
        </w:rPr>
      </w:pPr>
      <w:r>
        <w:rPr>
          <w:color w:val="auto"/>
        </w:rPr>
        <w:t>（四）拟申请免修的课程须在选课时予以确定，并在选课名单公布后</w:t>
      </w:r>
      <w:r>
        <w:rPr>
          <w:rFonts w:ascii="Times New Roman" w:hAnsi="Times New Roman" w:eastAsia="Times New Roman" w:cs="Times New Roman"/>
          <w:color w:val="auto"/>
          <w:sz w:val="20"/>
          <w:szCs w:val="20"/>
        </w:rPr>
        <w:t>1</w:t>
      </w:r>
      <w:r>
        <w:rPr>
          <w:color w:val="auto"/>
        </w:rPr>
        <w:t>周内办理手续，次学期开学</w:t>
      </w:r>
      <w:r>
        <w:rPr>
          <w:rFonts w:ascii="Times New Roman" w:hAnsi="Times New Roman" w:eastAsia="Times New Roman" w:cs="Times New Roman"/>
          <w:color w:val="auto"/>
          <w:sz w:val="20"/>
          <w:szCs w:val="20"/>
        </w:rPr>
        <w:t>1</w:t>
      </w:r>
      <w:r>
        <w:rPr>
          <w:color w:val="auto"/>
        </w:rPr>
        <w:t>周内参加免修考试。</w:t>
      </w:r>
    </w:p>
    <w:p>
      <w:pPr>
        <w:pStyle w:val="14"/>
        <w:spacing w:line="302" w:lineRule="exact"/>
        <w:ind w:firstLine="420"/>
        <w:rPr>
          <w:color w:val="auto"/>
        </w:rPr>
      </w:pPr>
      <w:r>
        <w:rPr>
          <w:color w:val="auto"/>
        </w:rPr>
        <w:t>（五）学生通过免修获得课程学分后，若需增加课程，应在开学</w:t>
      </w:r>
      <w:r>
        <w:rPr>
          <w:rFonts w:ascii="Times New Roman" w:hAnsi="Times New Roman" w:eastAsia="Times New Roman" w:cs="Times New Roman"/>
          <w:color w:val="auto"/>
          <w:sz w:val="20"/>
          <w:szCs w:val="20"/>
        </w:rPr>
        <w:t>2</w:t>
      </w:r>
      <w:r>
        <w:rPr>
          <w:color w:val="auto"/>
        </w:rPr>
        <w:t>周内申请补选。</w:t>
      </w:r>
    </w:p>
    <w:p>
      <w:pPr>
        <w:pStyle w:val="14"/>
        <w:spacing w:line="302" w:lineRule="exact"/>
        <w:ind w:firstLine="420"/>
        <w:jc w:val="both"/>
        <w:rPr>
          <w:color w:val="auto"/>
        </w:rPr>
      </w:pPr>
      <w:r>
        <w:rPr>
          <w:color w:val="auto"/>
        </w:rPr>
        <w:t>（六）任课教师以教务网公布的课程修读名单实施教学，学生须按中选课程及教师，参加上课和</w:t>
      </w:r>
      <w:r>
        <w:rPr>
          <w:color w:val="auto"/>
          <w:lang w:val="zh-CN" w:eastAsia="zh-CN" w:bidi="zh-CN"/>
        </w:rPr>
        <w:t>考核。</w:t>
      </w:r>
    </w:p>
    <w:p>
      <w:pPr>
        <w:pStyle w:val="14"/>
        <w:spacing w:line="302" w:lineRule="exact"/>
        <w:ind w:firstLine="420"/>
        <w:jc w:val="both"/>
        <w:rPr>
          <w:color w:val="auto"/>
        </w:rPr>
      </w:pPr>
      <w:r>
        <w:rPr>
          <w:b/>
          <w:bCs/>
          <w:color w:val="auto"/>
        </w:rPr>
        <w:t>第四条</w:t>
      </w:r>
      <w:r>
        <w:rPr>
          <w:color w:val="auto"/>
        </w:rPr>
        <w:t>选课安排</w:t>
      </w:r>
    </w:p>
    <w:p>
      <w:pPr>
        <w:pStyle w:val="14"/>
        <w:spacing w:line="302" w:lineRule="exact"/>
        <w:ind w:firstLine="420"/>
        <w:rPr>
          <w:color w:val="auto"/>
        </w:rPr>
      </w:pPr>
      <w:r>
        <w:rPr>
          <w:color w:val="auto"/>
        </w:rPr>
        <w:t>学校每年组织三次网上选课。具体安排提前</w:t>
      </w:r>
      <w:r>
        <w:rPr>
          <w:rFonts w:ascii="Times New Roman" w:hAnsi="Times New Roman" w:eastAsia="Times New Roman" w:cs="Times New Roman"/>
          <w:color w:val="auto"/>
          <w:sz w:val="20"/>
          <w:szCs w:val="20"/>
        </w:rPr>
        <w:t>1</w:t>
      </w:r>
      <w:r>
        <w:rPr>
          <w:color w:val="auto"/>
        </w:rPr>
        <w:t>周公布。</w:t>
      </w:r>
    </w:p>
    <w:p>
      <w:pPr>
        <w:pStyle w:val="14"/>
        <w:spacing w:line="302" w:lineRule="exact"/>
        <w:ind w:firstLine="420"/>
        <w:rPr>
          <w:color w:val="auto"/>
        </w:rPr>
      </w:pPr>
      <w:r>
        <w:rPr>
          <w:color w:val="auto"/>
        </w:rPr>
        <w:t>（一）九月，新生选本学期课程；</w:t>
      </w:r>
    </w:p>
    <w:p>
      <w:pPr>
        <w:pStyle w:val="14"/>
        <w:spacing w:line="302" w:lineRule="exact"/>
        <w:ind w:firstLine="420"/>
        <w:rPr>
          <w:color w:val="auto"/>
        </w:rPr>
      </w:pPr>
      <w:r>
        <w:rPr>
          <w:color w:val="auto"/>
        </w:rPr>
        <w:t>（二）五月，一、二、三年级学生选下一学期课程；</w:t>
      </w:r>
    </w:p>
    <w:p>
      <w:pPr>
        <w:pStyle w:val="14"/>
        <w:spacing w:line="302" w:lineRule="exact"/>
        <w:ind w:firstLine="420"/>
        <w:rPr>
          <w:color w:val="auto"/>
        </w:rPr>
      </w:pPr>
      <w:r>
        <w:rPr>
          <w:color w:val="auto"/>
        </w:rPr>
        <w:t>（三）十一月，全校学生选下一学期课程。</w:t>
      </w:r>
    </w:p>
    <w:p>
      <w:pPr>
        <w:pStyle w:val="14"/>
        <w:spacing w:line="302" w:lineRule="exact"/>
        <w:ind w:firstLine="420"/>
        <w:jc w:val="both"/>
        <w:rPr>
          <w:color w:val="auto"/>
        </w:rPr>
      </w:pPr>
      <w:r>
        <w:rPr>
          <w:b/>
          <w:bCs/>
          <w:color w:val="auto"/>
        </w:rPr>
        <w:t>第五条</w:t>
      </w:r>
      <w:r>
        <w:rPr>
          <w:color w:val="auto"/>
        </w:rPr>
        <w:t>选课流程</w:t>
      </w:r>
    </w:p>
    <w:p>
      <w:pPr>
        <w:pStyle w:val="14"/>
        <w:spacing w:line="302" w:lineRule="exact"/>
        <w:ind w:firstLine="420"/>
        <w:jc w:val="both"/>
        <w:rPr>
          <w:color w:val="auto"/>
        </w:rPr>
      </w:pPr>
      <w:r>
        <w:rPr>
          <w:color w:val="auto"/>
        </w:rPr>
        <w:t>根据学校现有的教学条件、教学资源的状况以及网络选课的特点，选课分为选课准备、初选、复选、补退选四个阶段进行。</w:t>
      </w:r>
    </w:p>
    <w:p>
      <w:pPr>
        <w:pStyle w:val="14"/>
        <w:spacing w:line="302" w:lineRule="exact"/>
        <w:ind w:firstLine="420"/>
        <w:jc w:val="both"/>
        <w:rPr>
          <w:color w:val="auto"/>
        </w:rPr>
      </w:pPr>
      <w:r>
        <w:rPr>
          <w:color w:val="auto"/>
        </w:rPr>
        <w:t>（一）选课准备</w:t>
      </w:r>
    </w:p>
    <w:p>
      <w:pPr>
        <w:pStyle w:val="14"/>
        <w:spacing w:line="302" w:lineRule="exact"/>
        <w:ind w:firstLine="420"/>
        <w:jc w:val="both"/>
        <w:rPr>
          <w:color w:val="auto"/>
        </w:rPr>
      </w:pPr>
      <w:r>
        <w:rPr>
          <w:color w:val="auto"/>
        </w:rPr>
        <w:t>（</w:t>
      </w:r>
      <w:r>
        <w:rPr>
          <w:rFonts w:ascii="Times New Roman" w:hAnsi="Times New Roman" w:eastAsia="Times New Roman" w:cs="Times New Roman"/>
          <w:color w:val="auto"/>
          <w:sz w:val="20"/>
          <w:szCs w:val="20"/>
        </w:rPr>
        <w:t>1</w:t>
      </w:r>
      <w:r>
        <w:rPr>
          <w:color w:val="auto"/>
        </w:rPr>
        <w:t>）各学院应安排专人分年级指导学生选课，重点进行专业与课程介绍，明确选课注意事项。</w:t>
      </w:r>
    </w:p>
    <w:p>
      <w:pPr>
        <w:pStyle w:val="14"/>
        <w:spacing w:line="307" w:lineRule="exact"/>
        <w:ind w:firstLine="420"/>
        <w:jc w:val="both"/>
        <w:rPr>
          <w:color w:val="auto"/>
        </w:rPr>
      </w:pPr>
      <w:r>
        <w:rPr>
          <w:color w:val="auto"/>
          <w:szCs w:val="20"/>
        </w:rPr>
        <w:t>（</w:t>
      </w:r>
      <w:r>
        <w:rPr>
          <w:rFonts w:ascii="Times New Roman" w:hAnsi="Times New Roman" w:eastAsia="Times New Roman" w:cs="Times New Roman"/>
          <w:color w:val="auto"/>
          <w:sz w:val="20"/>
          <w:szCs w:val="20"/>
        </w:rPr>
        <w:t>2</w:t>
      </w:r>
      <w:r>
        <w:rPr>
          <w:color w:val="auto"/>
          <w:szCs w:val="20"/>
        </w:rPr>
        <w:t>）</w:t>
      </w:r>
      <w:r>
        <w:rPr>
          <w:color w:val="auto"/>
        </w:rPr>
        <w:t>学生应认真学习并充分了解本专业培养方案的规定和要求，理解课程体系结构。通过教务网站认真查看已修、在修课程及学分情况，明确应修课程及学分数，充分了解课程开设情况和拟选课程内容、教学要求等情况；在班主任指导下，制定本次选课方案。</w:t>
      </w:r>
    </w:p>
    <w:p>
      <w:pPr>
        <w:pStyle w:val="14"/>
        <w:spacing w:line="307" w:lineRule="exact"/>
        <w:ind w:firstLine="420"/>
        <w:jc w:val="both"/>
        <w:rPr>
          <w:color w:val="auto"/>
        </w:rPr>
      </w:pPr>
      <w:r>
        <w:rPr>
          <w:color w:val="auto"/>
        </w:rPr>
        <w:t>（二）初选阶段</w:t>
      </w:r>
    </w:p>
    <w:p>
      <w:pPr>
        <w:pStyle w:val="14"/>
        <w:spacing w:line="307" w:lineRule="exact"/>
        <w:ind w:firstLine="420"/>
        <w:jc w:val="both"/>
        <w:rPr>
          <w:color w:val="auto"/>
        </w:rPr>
      </w:pPr>
      <w:r>
        <w:rPr>
          <w:color w:val="auto"/>
        </w:rPr>
        <w:t>初选为每学期第一次网上选课，一般为期</w:t>
      </w:r>
      <w:r>
        <w:rPr>
          <w:rFonts w:ascii="Times New Roman" w:hAnsi="Times New Roman" w:eastAsia="Times New Roman" w:cs="Times New Roman"/>
          <w:color w:val="auto"/>
          <w:sz w:val="20"/>
          <w:szCs w:val="20"/>
          <w:lang w:val="en-US" w:eastAsia="zh-CN" w:bidi="en-US"/>
        </w:rPr>
        <w:t>3-4</w:t>
      </w:r>
      <w:r>
        <w:rPr>
          <w:color w:val="auto"/>
        </w:rPr>
        <w:t>天，教务网站提供学生每学期可修读课程目录。</w:t>
      </w:r>
    </w:p>
    <w:p>
      <w:pPr>
        <w:pStyle w:val="14"/>
        <w:tabs>
          <w:tab w:val="left" w:pos="745"/>
        </w:tabs>
        <w:spacing w:line="307" w:lineRule="exact"/>
        <w:ind w:left="420" w:firstLine="0"/>
        <w:jc w:val="both"/>
        <w:rPr>
          <w:color w:val="auto"/>
        </w:rPr>
      </w:pPr>
      <w:bookmarkStart w:id="251" w:name="bookmark404"/>
      <w:bookmarkEnd w:id="251"/>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必修课、专业选修课程，即选即中。</w:t>
      </w:r>
    </w:p>
    <w:p>
      <w:pPr>
        <w:pStyle w:val="14"/>
        <w:tabs>
          <w:tab w:val="left" w:pos="764"/>
        </w:tabs>
        <w:spacing w:line="307" w:lineRule="exact"/>
        <w:ind w:left="420" w:firstLine="0"/>
        <w:jc w:val="both"/>
        <w:rPr>
          <w:color w:val="auto"/>
        </w:rPr>
      </w:pPr>
      <w:bookmarkStart w:id="252" w:name="bookmark405"/>
      <w:bookmarkEnd w:id="252"/>
      <w:r>
        <w:rPr>
          <w:rFonts w:hint="eastAsia" w:ascii="Times New Roman" w:hAnsi="Times New Roman" w:eastAsiaTheme="minorEastAsia"/>
          <w:color w:val="auto"/>
          <w:sz w:val="20"/>
          <w:lang w:eastAsia="zh-CN"/>
        </w:rPr>
        <w:t>2</w:t>
      </w:r>
      <w:r>
        <w:rPr>
          <w:rFonts w:ascii="Times New Roman" w:hAnsi="Times New Roman" w:eastAsia="PMingLiU"/>
          <w:color w:val="auto"/>
          <w:sz w:val="20"/>
        </w:rPr>
        <w:t>.</w:t>
      </w:r>
      <w:r>
        <w:rPr>
          <w:color w:val="auto"/>
        </w:rPr>
        <w:t>文化素质课，按选课志愿顺序，对相同志愿顺序号的学生随机抽签确定选中结果。</w:t>
      </w:r>
    </w:p>
    <w:p>
      <w:pPr>
        <w:pStyle w:val="14"/>
        <w:tabs>
          <w:tab w:val="left" w:pos="766"/>
        </w:tabs>
        <w:spacing w:line="307" w:lineRule="exact"/>
        <w:ind w:left="420" w:firstLine="0"/>
        <w:jc w:val="both"/>
        <w:rPr>
          <w:color w:val="auto"/>
        </w:rPr>
      </w:pPr>
      <w:bookmarkStart w:id="253" w:name="bookmark406"/>
      <w:bookmarkEnd w:id="253"/>
      <w:r>
        <w:rPr>
          <w:rFonts w:hint="eastAsia" w:ascii="Times New Roman" w:hAnsi="Times New Roman" w:eastAsiaTheme="minorEastAsia"/>
          <w:color w:val="auto"/>
          <w:sz w:val="20"/>
          <w:lang w:eastAsia="zh-CN"/>
        </w:rPr>
        <w:t>3</w:t>
      </w:r>
      <w:r>
        <w:rPr>
          <w:rFonts w:ascii="Times New Roman" w:hAnsi="Times New Roman" w:eastAsia="PMingLiU"/>
          <w:color w:val="auto"/>
          <w:sz w:val="20"/>
        </w:rPr>
        <w:t>.</w:t>
      </w:r>
      <w:r>
        <w:rPr>
          <w:color w:val="auto"/>
        </w:rPr>
        <w:t>选课人数低于</w:t>
      </w:r>
      <w:r>
        <w:rPr>
          <w:rFonts w:ascii="Times New Roman" w:hAnsi="Times New Roman" w:eastAsia="Times New Roman" w:cs="Times New Roman"/>
          <w:color w:val="auto"/>
          <w:sz w:val="20"/>
          <w:szCs w:val="20"/>
        </w:rPr>
        <w:t>2</w:t>
      </w:r>
      <w:r>
        <w:rPr>
          <w:rFonts w:hint="eastAsia" w:ascii="Times New Roman" w:hAnsi="Times New Roman" w:cs="Times New Roman"/>
          <w:color w:val="auto"/>
          <w:sz w:val="20"/>
          <w:szCs w:val="20"/>
          <w:lang w:val="en-US" w:eastAsia="zh-CN"/>
        </w:rPr>
        <w:t>5</w:t>
      </w:r>
      <w:r>
        <w:rPr>
          <w:color w:val="auto"/>
        </w:rPr>
        <w:t>人的课程，由教学科研处与开课学院协商，若决定停开，将在选课系统中予以公布。</w:t>
      </w:r>
    </w:p>
    <w:p>
      <w:pPr>
        <w:pStyle w:val="14"/>
        <w:tabs>
          <w:tab w:val="left" w:pos="769"/>
        </w:tabs>
        <w:spacing w:line="307" w:lineRule="exact"/>
        <w:ind w:left="420" w:firstLine="0"/>
        <w:jc w:val="both"/>
        <w:rPr>
          <w:color w:val="auto"/>
        </w:rPr>
      </w:pPr>
      <w:bookmarkStart w:id="254" w:name="bookmark407"/>
      <w:bookmarkEnd w:id="254"/>
      <w:r>
        <w:rPr>
          <w:rFonts w:hint="eastAsia" w:ascii="Times New Roman" w:hAnsi="Times New Roman" w:eastAsiaTheme="minorEastAsia"/>
          <w:color w:val="auto"/>
          <w:sz w:val="20"/>
          <w:lang w:eastAsia="zh-CN"/>
        </w:rPr>
        <w:t>4</w:t>
      </w:r>
      <w:r>
        <w:rPr>
          <w:rFonts w:ascii="Times New Roman" w:hAnsi="Times New Roman" w:eastAsia="PMingLiU"/>
          <w:color w:val="auto"/>
          <w:sz w:val="20"/>
        </w:rPr>
        <w:t>.</w:t>
      </w:r>
      <w:r>
        <w:rPr>
          <w:color w:val="auto"/>
        </w:rPr>
        <w:t>在初选结束后，学生可通过选课系统查询初选结果。</w:t>
      </w:r>
    </w:p>
    <w:p>
      <w:pPr>
        <w:pStyle w:val="14"/>
        <w:spacing w:line="307" w:lineRule="exact"/>
        <w:ind w:firstLine="420"/>
        <w:jc w:val="both"/>
        <w:rPr>
          <w:color w:val="auto"/>
        </w:rPr>
      </w:pPr>
      <w:r>
        <w:rPr>
          <w:color w:val="auto"/>
        </w:rPr>
        <w:t>（三）复选阶段</w:t>
      </w:r>
    </w:p>
    <w:p>
      <w:pPr>
        <w:pStyle w:val="14"/>
        <w:spacing w:line="307" w:lineRule="exact"/>
        <w:ind w:firstLine="420"/>
        <w:jc w:val="both"/>
        <w:rPr>
          <w:color w:val="auto"/>
        </w:rPr>
      </w:pPr>
      <w:r>
        <w:rPr>
          <w:color w:val="auto"/>
        </w:rPr>
        <w:t>复选为每学期第二次网上选课</w:t>
      </w:r>
      <w:r>
        <w:rPr>
          <w:rFonts w:hint="eastAsia"/>
          <w:color w:val="auto"/>
          <w:szCs w:val="20"/>
        </w:rPr>
        <w:t>（</w:t>
      </w:r>
      <w:r>
        <w:rPr>
          <w:color w:val="auto"/>
        </w:rPr>
        <w:t>大一新生第一学期除外），一般为期</w:t>
      </w:r>
      <w:r>
        <w:rPr>
          <w:rFonts w:ascii="Times New Roman" w:hAnsi="Times New Roman" w:eastAsia="Times New Roman" w:cs="Times New Roman"/>
          <w:color w:val="auto"/>
          <w:sz w:val="20"/>
          <w:szCs w:val="20"/>
        </w:rPr>
        <w:t>3</w:t>
      </w:r>
      <w:r>
        <w:rPr>
          <w:color w:val="auto"/>
        </w:rPr>
        <w:t>天。教务网站提供尚有余额的选修课程，供初选时未能选中的学生再次选择，按以下流程进行：</w:t>
      </w:r>
    </w:p>
    <w:p>
      <w:pPr>
        <w:pStyle w:val="14"/>
        <w:tabs>
          <w:tab w:val="left" w:pos="745"/>
        </w:tabs>
        <w:spacing w:line="307" w:lineRule="exact"/>
        <w:ind w:left="420" w:firstLine="0"/>
        <w:jc w:val="both"/>
        <w:rPr>
          <w:color w:val="auto"/>
        </w:rPr>
      </w:pPr>
      <w:bookmarkStart w:id="255" w:name="bookmark409"/>
      <w:bookmarkEnd w:id="255"/>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复选：已修与在修课程的学分之和低于应修学分要求的学生，在可选余额内即选即中；</w:t>
      </w:r>
    </w:p>
    <w:p>
      <w:pPr>
        <w:pStyle w:val="14"/>
        <w:tabs>
          <w:tab w:val="left" w:pos="764"/>
        </w:tabs>
        <w:spacing w:line="307" w:lineRule="exact"/>
        <w:ind w:left="420" w:firstLine="0"/>
        <w:jc w:val="both"/>
        <w:rPr>
          <w:color w:val="auto"/>
        </w:rPr>
      </w:pPr>
      <w:bookmarkStart w:id="256" w:name="bookmark410"/>
      <w:bookmarkEnd w:id="256"/>
      <w:r>
        <w:rPr>
          <w:rFonts w:hint="eastAsia" w:ascii="Times New Roman" w:hAnsi="Times New Roman" w:eastAsiaTheme="minorEastAsia"/>
          <w:color w:val="auto"/>
          <w:sz w:val="20"/>
          <w:lang w:eastAsia="zh-CN"/>
        </w:rPr>
        <w:t>2</w:t>
      </w:r>
      <w:r>
        <w:rPr>
          <w:rFonts w:ascii="Times New Roman" w:hAnsi="Times New Roman" w:eastAsia="PMingLiU"/>
          <w:color w:val="auto"/>
          <w:sz w:val="20"/>
        </w:rPr>
        <w:t>.</w:t>
      </w:r>
      <w:r>
        <w:rPr>
          <w:color w:val="auto"/>
        </w:rPr>
        <w:t>改选：其它在初选时未选中且需改选的学生，在可选余额内即选即中；</w:t>
      </w:r>
    </w:p>
    <w:p>
      <w:pPr>
        <w:pStyle w:val="14"/>
        <w:tabs>
          <w:tab w:val="left" w:pos="764"/>
        </w:tabs>
        <w:spacing w:line="307" w:lineRule="exact"/>
        <w:ind w:left="420" w:firstLine="0"/>
        <w:jc w:val="both"/>
        <w:rPr>
          <w:color w:val="auto"/>
        </w:rPr>
      </w:pPr>
      <w:bookmarkStart w:id="257" w:name="bookmark411"/>
      <w:bookmarkEnd w:id="257"/>
      <w:r>
        <w:rPr>
          <w:rFonts w:hint="eastAsia" w:ascii="Times New Roman" w:hAnsi="Times New Roman" w:eastAsiaTheme="minorEastAsia"/>
          <w:color w:val="auto"/>
          <w:sz w:val="20"/>
          <w:lang w:eastAsia="zh-CN"/>
        </w:rPr>
        <w:t>3</w:t>
      </w:r>
      <w:r>
        <w:rPr>
          <w:rFonts w:ascii="Times New Roman" w:hAnsi="Times New Roman" w:eastAsia="PMingLiU"/>
          <w:color w:val="auto"/>
          <w:sz w:val="20"/>
        </w:rPr>
        <w:t>.</w:t>
      </w:r>
      <w:r>
        <w:rPr>
          <w:color w:val="auto"/>
        </w:rPr>
        <w:t>查询：在复选结束后选课系统公布最终选课结果。</w:t>
      </w:r>
    </w:p>
    <w:p>
      <w:pPr>
        <w:pStyle w:val="14"/>
        <w:spacing w:line="307" w:lineRule="exact"/>
        <w:ind w:firstLine="420"/>
        <w:jc w:val="both"/>
        <w:rPr>
          <w:color w:val="auto"/>
        </w:rPr>
      </w:pPr>
      <w:r>
        <w:rPr>
          <w:color w:val="auto"/>
        </w:rPr>
        <w:t>（四）课程补退选阶段</w:t>
      </w:r>
    </w:p>
    <w:p>
      <w:pPr>
        <w:pStyle w:val="14"/>
        <w:spacing w:line="312" w:lineRule="exact"/>
        <w:ind w:firstLine="420"/>
        <w:jc w:val="both"/>
        <w:rPr>
          <w:color w:val="auto"/>
        </w:rPr>
      </w:pPr>
      <w:r>
        <w:rPr>
          <w:color w:val="auto"/>
        </w:rPr>
        <w:t>补退选阶段一般在开学后</w:t>
      </w:r>
      <w:r>
        <w:rPr>
          <w:rFonts w:ascii="Times New Roman" w:hAnsi="Times New Roman" w:eastAsia="Times New Roman" w:cs="Times New Roman"/>
          <w:color w:val="auto"/>
          <w:sz w:val="20"/>
          <w:szCs w:val="20"/>
        </w:rPr>
        <w:t>2</w:t>
      </w:r>
      <w:r>
        <w:rPr>
          <w:color w:val="auto"/>
        </w:rPr>
        <w:t>周内进行，一般为期</w:t>
      </w:r>
      <w:r>
        <w:rPr>
          <w:rFonts w:ascii="Times New Roman" w:hAnsi="Times New Roman" w:eastAsia="Times New Roman" w:cs="Times New Roman"/>
          <w:color w:val="auto"/>
          <w:sz w:val="20"/>
          <w:szCs w:val="20"/>
        </w:rPr>
        <w:t>3</w:t>
      </w:r>
      <w:r>
        <w:rPr>
          <w:color w:val="auto"/>
        </w:rPr>
        <w:t>天，学生根据已修学分情况进行。</w:t>
      </w:r>
    </w:p>
    <w:p>
      <w:pPr>
        <w:pStyle w:val="14"/>
        <w:tabs>
          <w:tab w:val="left" w:pos="771"/>
        </w:tabs>
        <w:spacing w:line="312" w:lineRule="exact"/>
        <w:ind w:left="420" w:firstLine="0"/>
        <w:jc w:val="both"/>
        <w:rPr>
          <w:color w:val="auto"/>
        </w:rPr>
      </w:pPr>
      <w:bookmarkStart w:id="258" w:name="bookmark413"/>
      <w:bookmarkEnd w:id="258"/>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补选：原则上课程选课应在复选阶段完成。如特殊情况确需补选的，学生在可选余额内即选即中；</w:t>
      </w:r>
    </w:p>
    <w:p>
      <w:pPr>
        <w:pStyle w:val="14"/>
        <w:tabs>
          <w:tab w:val="left" w:pos="766"/>
        </w:tabs>
        <w:spacing w:line="312" w:lineRule="exact"/>
        <w:ind w:left="420" w:firstLine="0"/>
        <w:jc w:val="both"/>
        <w:rPr>
          <w:color w:val="auto"/>
        </w:rPr>
      </w:pPr>
      <w:bookmarkStart w:id="259" w:name="bookmark414"/>
      <w:bookmarkEnd w:id="259"/>
      <w:r>
        <w:rPr>
          <w:rFonts w:hint="eastAsia" w:ascii="Times New Roman" w:hAnsi="Times New Roman" w:eastAsiaTheme="minorEastAsia"/>
          <w:color w:val="auto"/>
          <w:sz w:val="20"/>
          <w:lang w:eastAsia="zh-CN"/>
        </w:rPr>
        <w:t>2</w:t>
      </w:r>
      <w:r>
        <w:rPr>
          <w:rFonts w:ascii="Times New Roman" w:hAnsi="Times New Roman" w:eastAsia="PMingLiU"/>
          <w:color w:val="auto"/>
          <w:sz w:val="20"/>
        </w:rPr>
        <w:t>.</w:t>
      </w:r>
      <w:r>
        <w:rPr>
          <w:color w:val="auto"/>
        </w:rPr>
        <w:t>退选：选中课程一般不予退选。如有特殊情况，可在开学后</w:t>
      </w:r>
      <w:r>
        <w:rPr>
          <w:rFonts w:ascii="Times New Roman" w:hAnsi="Times New Roman" w:eastAsia="Times New Roman" w:cs="Times New Roman"/>
          <w:color w:val="auto"/>
          <w:sz w:val="20"/>
          <w:szCs w:val="20"/>
        </w:rPr>
        <w:t>2</w:t>
      </w:r>
      <w:r>
        <w:rPr>
          <w:color w:val="auto"/>
        </w:rPr>
        <w:t>周内提出退选申请，经班主任同意，学院院长批准后方可退选课程；</w:t>
      </w:r>
    </w:p>
    <w:p>
      <w:pPr>
        <w:pStyle w:val="14"/>
        <w:tabs>
          <w:tab w:val="left" w:pos="776"/>
        </w:tabs>
        <w:spacing w:line="310" w:lineRule="exact"/>
        <w:ind w:left="420" w:firstLine="0"/>
        <w:jc w:val="both"/>
        <w:rPr>
          <w:color w:val="auto"/>
        </w:rPr>
      </w:pPr>
      <w:bookmarkStart w:id="260" w:name="bookmark415"/>
      <w:bookmarkEnd w:id="260"/>
      <w:r>
        <w:rPr>
          <w:rFonts w:hint="eastAsia" w:ascii="Times New Roman" w:hAnsi="Times New Roman" w:eastAsiaTheme="minorEastAsia"/>
          <w:color w:val="auto"/>
          <w:sz w:val="20"/>
          <w:lang w:eastAsia="zh-CN"/>
        </w:rPr>
        <w:t>3</w:t>
      </w:r>
      <w:r>
        <w:rPr>
          <w:rFonts w:ascii="Times New Roman" w:hAnsi="Times New Roman" w:eastAsia="PMingLiU"/>
          <w:color w:val="auto"/>
          <w:sz w:val="20"/>
        </w:rPr>
        <w:t>.</w:t>
      </w:r>
      <w:r>
        <w:rPr>
          <w:color w:val="auto"/>
        </w:rPr>
        <w:t>退选结束时，授课人数在</w:t>
      </w:r>
      <w:r>
        <w:rPr>
          <w:rFonts w:ascii="Times New Roman" w:hAnsi="Times New Roman" w:eastAsia="Times New Roman" w:cs="Times New Roman"/>
          <w:color w:val="auto"/>
          <w:sz w:val="20"/>
          <w:szCs w:val="20"/>
        </w:rPr>
        <w:t>20</w:t>
      </w:r>
      <w:r>
        <w:rPr>
          <w:color w:val="auto"/>
        </w:rPr>
        <w:t>人以上的课程，继续开课；授课人数少于</w:t>
      </w:r>
      <w:r>
        <w:rPr>
          <w:rFonts w:ascii="Times New Roman" w:hAnsi="Times New Roman" w:eastAsia="Times New Roman" w:cs="Times New Roman"/>
          <w:color w:val="auto"/>
          <w:sz w:val="20"/>
          <w:szCs w:val="20"/>
        </w:rPr>
        <w:t>20</w:t>
      </w:r>
      <w:r>
        <w:rPr>
          <w:color w:val="auto"/>
        </w:rPr>
        <w:t>人的课程，由教学科研处与开课学院协商是否停开。若停止开课，由教学科研处和相关学院通知有关任课教师和学生，并给予妥善安排。</w:t>
      </w:r>
    </w:p>
    <w:p>
      <w:pPr>
        <w:pStyle w:val="14"/>
        <w:spacing w:line="310" w:lineRule="exact"/>
        <w:ind w:firstLine="420"/>
        <w:jc w:val="both"/>
        <w:rPr>
          <w:color w:val="auto"/>
        </w:rPr>
      </w:pPr>
      <w:r>
        <w:rPr>
          <w:b/>
          <w:bCs/>
          <w:color w:val="auto"/>
        </w:rPr>
        <w:t>第六条</w:t>
      </w:r>
      <w:r>
        <w:rPr>
          <w:color w:val="auto"/>
        </w:rPr>
        <w:t>转专业、复学、延长学习年限等学籍异动学生的选课</w:t>
      </w:r>
    </w:p>
    <w:p>
      <w:pPr>
        <w:pStyle w:val="14"/>
        <w:spacing w:line="274" w:lineRule="exact"/>
        <w:ind w:firstLine="420"/>
        <w:jc w:val="both"/>
        <w:rPr>
          <w:color w:val="auto"/>
        </w:rPr>
      </w:pPr>
      <w:r>
        <w:rPr>
          <w:color w:val="auto"/>
        </w:rPr>
        <w:t>（一）转专业的学生，在转入后第一学年内，由转入学院根据学生课程已修读情况制定课程修读计划，由各学院教务秘书及时将名单发送至开课学院任课教师名下。</w:t>
      </w:r>
    </w:p>
    <w:p>
      <w:pPr>
        <w:pStyle w:val="14"/>
        <w:spacing w:line="307" w:lineRule="exact"/>
        <w:ind w:firstLine="420"/>
        <w:jc w:val="both"/>
        <w:rPr>
          <w:color w:val="auto"/>
        </w:rPr>
      </w:pPr>
      <w:r>
        <w:rPr>
          <w:color w:val="auto"/>
        </w:rPr>
        <w:t>（二）延长学习年限学生在开学后</w:t>
      </w:r>
      <w:r>
        <w:rPr>
          <w:rFonts w:ascii="Times New Roman" w:hAnsi="Times New Roman" w:eastAsia="Times New Roman" w:cs="Times New Roman"/>
          <w:color w:val="auto"/>
          <w:sz w:val="20"/>
          <w:szCs w:val="20"/>
        </w:rPr>
        <w:t>3</w:t>
      </w:r>
      <w:r>
        <w:rPr>
          <w:color w:val="auto"/>
        </w:rPr>
        <w:t>周内、复学的学生在复学后</w:t>
      </w:r>
      <w:r>
        <w:rPr>
          <w:rFonts w:ascii="Times New Roman" w:hAnsi="Times New Roman" w:eastAsia="Times New Roman" w:cs="Times New Roman"/>
          <w:color w:val="auto"/>
          <w:sz w:val="20"/>
          <w:szCs w:val="20"/>
        </w:rPr>
        <w:t>1</w:t>
      </w:r>
      <w:r>
        <w:rPr>
          <w:color w:val="auto"/>
        </w:rPr>
        <w:t>周内，在班主任的指导下制定个人修读计划，报所在学院审批。经批准后，由各学院教务秘书及时将名单发送至开课学院任课教师名下。</w:t>
      </w:r>
    </w:p>
    <w:p>
      <w:pPr>
        <w:pStyle w:val="14"/>
        <w:spacing w:line="307" w:lineRule="exact"/>
        <w:ind w:firstLine="420"/>
        <w:jc w:val="both"/>
        <w:rPr>
          <w:color w:val="auto"/>
        </w:rPr>
      </w:pPr>
      <w:r>
        <w:rPr>
          <w:b/>
          <w:bCs/>
          <w:color w:val="auto"/>
        </w:rPr>
        <w:t>第七条</w:t>
      </w:r>
      <w:r>
        <w:rPr>
          <w:color w:val="auto"/>
        </w:rPr>
        <w:t>重修选课</w:t>
      </w:r>
    </w:p>
    <w:p>
      <w:pPr>
        <w:pStyle w:val="14"/>
        <w:spacing w:line="307" w:lineRule="exact"/>
        <w:ind w:firstLine="420"/>
        <w:jc w:val="both"/>
        <w:rPr>
          <w:color w:val="auto"/>
        </w:rPr>
      </w:pPr>
      <w:r>
        <w:rPr>
          <w:color w:val="auto"/>
        </w:rPr>
        <w:t>（一）学生于开学后</w:t>
      </w:r>
      <w:r>
        <w:rPr>
          <w:rFonts w:ascii="Times New Roman" w:hAnsi="Times New Roman" w:eastAsia="Times New Roman" w:cs="Times New Roman"/>
          <w:color w:val="auto"/>
          <w:sz w:val="20"/>
          <w:szCs w:val="20"/>
        </w:rPr>
        <w:t>3</w:t>
      </w:r>
      <w:r>
        <w:rPr>
          <w:color w:val="auto"/>
        </w:rPr>
        <w:t>周内登录教务系统申请重修课程，完成缴费后到任课教师处签署意见，方可参加重修课程修读。</w:t>
      </w:r>
    </w:p>
    <w:p>
      <w:pPr>
        <w:pStyle w:val="14"/>
        <w:spacing w:line="307" w:lineRule="exact"/>
        <w:ind w:firstLine="420"/>
        <w:jc w:val="both"/>
        <w:rPr>
          <w:color w:val="auto"/>
        </w:rPr>
      </w:pPr>
      <w:r>
        <w:rPr>
          <w:color w:val="auto"/>
        </w:rPr>
        <w:t>（二）重修课程原则上须与原不及格课程的课程号、课程名、学时、学分一致，且为本专业下年级开设。确因教学计划调整造成课程不一致的，由学院教务秘书做出相应调整。</w:t>
      </w:r>
    </w:p>
    <w:p>
      <w:pPr>
        <w:rPr>
          <w:rFonts w:ascii="宋体" w:hAnsi="宋体"/>
          <w:color w:val="auto"/>
          <w:sz w:val="18"/>
          <w:lang w:val="zh-TW" w:eastAsia="zh-TW" w:bidi="zh-TW"/>
        </w:rPr>
      </w:pPr>
      <w:r>
        <w:rPr>
          <w:color w:val="auto"/>
          <w:lang w:eastAsia="zh-CN"/>
        </w:rPr>
        <w:br w:type="page"/>
      </w:r>
    </w:p>
    <w:p>
      <w:pPr>
        <w:pStyle w:val="12"/>
        <w:keepNext/>
        <w:keepLines/>
        <w:spacing w:before="0" w:after="60" w:line="595" w:lineRule="exact"/>
        <w:rPr>
          <w:rFonts w:hint="eastAsia" w:eastAsia="宋体"/>
          <w:color w:val="auto"/>
          <w:lang w:eastAsia="zh-CN"/>
        </w:rPr>
      </w:pPr>
      <w:bookmarkStart w:id="261" w:name="bookmark422"/>
      <w:bookmarkStart w:id="262" w:name="bookmark420"/>
      <w:bookmarkStart w:id="263" w:name="bookmark421"/>
      <w:r>
        <w:rPr>
          <w:color w:val="auto"/>
        </w:rPr>
        <w:t>南京航空航天大学金城学院</w:t>
      </w:r>
    </w:p>
    <w:p>
      <w:pPr>
        <w:pStyle w:val="12"/>
        <w:keepNext/>
        <w:keepLines/>
        <w:spacing w:before="0" w:after="60" w:line="595" w:lineRule="exact"/>
        <w:rPr>
          <w:color w:val="auto"/>
        </w:rPr>
      </w:pPr>
      <w:r>
        <w:rPr>
          <w:color w:val="auto"/>
        </w:rPr>
        <w:t>本科生转专业实施细则</w:t>
      </w:r>
      <w:bookmarkEnd w:id="261"/>
      <w:bookmarkEnd w:id="262"/>
      <w:bookmarkEnd w:id="263"/>
    </w:p>
    <w:p>
      <w:pPr>
        <w:pStyle w:val="14"/>
        <w:spacing w:after="280" w:line="309" w:lineRule="exact"/>
        <w:ind w:firstLine="0"/>
        <w:jc w:val="center"/>
        <w:rPr>
          <w:color w:val="auto"/>
        </w:rPr>
      </w:pPr>
      <w:r>
        <w:rPr>
          <w:color w:val="auto"/>
        </w:rPr>
        <w:t>（</w:t>
      </w:r>
      <w:r>
        <w:rPr>
          <w:rFonts w:ascii="Times New Roman" w:hAnsi="Times New Roman" w:eastAsia="Times New Roman" w:cs="Times New Roman"/>
          <w:color w:val="auto"/>
          <w:sz w:val="20"/>
          <w:szCs w:val="20"/>
        </w:rPr>
        <w:t>20</w:t>
      </w:r>
      <w:r>
        <w:rPr>
          <w:rFonts w:hint="eastAsia" w:ascii="Times New Roman" w:hAnsi="Times New Roman" w:cs="Times New Roman"/>
          <w:color w:val="auto"/>
          <w:sz w:val="20"/>
          <w:szCs w:val="20"/>
          <w:lang w:val="en-US" w:eastAsia="zh-CN"/>
        </w:rPr>
        <w:t>22</w:t>
      </w:r>
      <w:r>
        <w:rPr>
          <w:color w:val="auto"/>
        </w:rPr>
        <w:t>年</w:t>
      </w:r>
      <w:r>
        <w:rPr>
          <w:rFonts w:hint="eastAsia"/>
          <w:color w:val="auto"/>
          <w:lang w:val="en-US" w:eastAsia="zh-CN"/>
        </w:rPr>
        <w:t>3</w:t>
      </w:r>
      <w:r>
        <w:rPr>
          <w:color w:val="auto"/>
        </w:rPr>
        <w:t>月修订）</w:t>
      </w:r>
    </w:p>
    <w:p>
      <w:pPr>
        <w:pStyle w:val="14"/>
        <w:spacing w:line="302" w:lineRule="exact"/>
        <w:ind w:firstLine="420"/>
        <w:rPr>
          <w:color w:val="auto"/>
        </w:rPr>
      </w:pPr>
      <w:r>
        <w:rPr>
          <w:rFonts w:hint="eastAsia"/>
          <w:color w:val="auto"/>
        </w:rPr>
        <w:t>为主动适应社会对人才的需求，满足学生个性、特长和志趣发展的需要，进一步调动学生学习积极性与主动性，改革培养方式，实行因材施教，培养具有创新精神的高素质应用型人才，根据《普通高等学校学生管理规定》、《省教育厅关于加强普通高等学校学生转专业工作管理的指导意见》(苏教学〔2010〕20号)、《省教育厅关于进一步加强和规范普通高等学校学生转专业工作管理的通知》（苏教学〔2014〕8号）、《南京航空航天大学金城学院本科生学籍管理规定》等文件精神，为进一步规范我校转专业工作，结合我校实际，特制定本办法。</w:t>
      </w:r>
    </w:p>
    <w:p>
      <w:pPr>
        <w:pStyle w:val="14"/>
        <w:spacing w:line="302" w:lineRule="exact"/>
        <w:ind w:firstLine="420"/>
        <w:rPr>
          <w:color w:val="auto"/>
        </w:rPr>
      </w:pPr>
      <w:r>
        <w:rPr>
          <w:rFonts w:hint="eastAsia"/>
          <w:color w:val="auto"/>
        </w:rPr>
        <w:t>第一条  转专业工作应根据社会需求、学生学习兴趣、学习能力、特殊潜质和专业特长，充分利用学校的教学资源，按照学生自愿和公平公正的原则进行。</w:t>
      </w:r>
    </w:p>
    <w:p>
      <w:pPr>
        <w:pStyle w:val="14"/>
        <w:spacing w:line="302" w:lineRule="exact"/>
        <w:ind w:firstLine="420"/>
        <w:rPr>
          <w:color w:val="auto"/>
        </w:rPr>
      </w:pPr>
      <w:r>
        <w:rPr>
          <w:rFonts w:hint="eastAsia"/>
          <w:color w:val="auto"/>
        </w:rPr>
        <w:t>第二条  转专业申请对象</w:t>
      </w:r>
    </w:p>
    <w:p>
      <w:pPr>
        <w:pStyle w:val="14"/>
        <w:spacing w:line="302" w:lineRule="exact"/>
        <w:ind w:firstLine="420"/>
        <w:rPr>
          <w:color w:val="auto"/>
        </w:rPr>
      </w:pPr>
      <w:r>
        <w:rPr>
          <w:rFonts w:hint="eastAsia"/>
          <w:color w:val="auto"/>
        </w:rPr>
        <w:t>（一）优秀生类：本科一年级学习成绩优秀的学生；</w:t>
      </w:r>
    </w:p>
    <w:p>
      <w:pPr>
        <w:pStyle w:val="14"/>
        <w:spacing w:line="302" w:lineRule="exact"/>
        <w:ind w:firstLine="420"/>
        <w:rPr>
          <w:color w:val="auto"/>
        </w:rPr>
      </w:pPr>
      <w:r>
        <w:rPr>
          <w:rFonts w:hint="eastAsia"/>
          <w:color w:val="auto"/>
        </w:rPr>
        <w:t>（二）专业特长类：确在某个专业领域有特长，转专业后有利于其成才的学生；</w:t>
      </w:r>
    </w:p>
    <w:p>
      <w:pPr>
        <w:pStyle w:val="14"/>
        <w:spacing w:line="302" w:lineRule="exact"/>
        <w:ind w:firstLine="420"/>
        <w:rPr>
          <w:color w:val="auto"/>
        </w:rPr>
      </w:pPr>
      <w:r>
        <w:rPr>
          <w:rFonts w:hint="eastAsia"/>
          <w:color w:val="auto"/>
        </w:rPr>
        <w:t>（三）专业志趣类：在本专业学习困难，确对其他专业有较强学习兴趣，转专业后有利于其完成学业或因身体等其他原因难以在现专业学习的学生；</w:t>
      </w:r>
    </w:p>
    <w:p>
      <w:pPr>
        <w:pStyle w:val="14"/>
        <w:spacing w:line="302" w:lineRule="exact"/>
        <w:ind w:firstLine="420"/>
        <w:rPr>
          <w:color w:val="auto"/>
        </w:rPr>
      </w:pPr>
      <w:r>
        <w:rPr>
          <w:rFonts w:hint="eastAsia"/>
          <w:color w:val="auto"/>
        </w:rPr>
        <w:t>（四）专项项目类：申请参加学校与其他学校合作项目的学生及因社会人才需求专业分流的学生。</w:t>
      </w:r>
    </w:p>
    <w:p>
      <w:pPr>
        <w:pStyle w:val="14"/>
        <w:spacing w:line="302" w:lineRule="exact"/>
        <w:ind w:firstLine="420"/>
        <w:rPr>
          <w:color w:val="auto"/>
        </w:rPr>
      </w:pPr>
      <w:r>
        <w:rPr>
          <w:rFonts w:hint="eastAsia"/>
          <w:color w:val="auto"/>
        </w:rPr>
        <w:t>第三条  转专业申请基本条件</w:t>
      </w:r>
    </w:p>
    <w:p>
      <w:pPr>
        <w:pStyle w:val="14"/>
        <w:spacing w:line="302" w:lineRule="exact"/>
        <w:ind w:firstLine="420"/>
        <w:rPr>
          <w:color w:val="auto"/>
        </w:rPr>
      </w:pPr>
      <w:r>
        <w:rPr>
          <w:rFonts w:hint="eastAsia"/>
          <w:color w:val="auto"/>
        </w:rPr>
        <w:t>（一）政治思想表现良好，学习态度端正，志向明确；</w:t>
      </w:r>
    </w:p>
    <w:p>
      <w:pPr>
        <w:pStyle w:val="14"/>
        <w:spacing w:line="302" w:lineRule="exact"/>
        <w:ind w:firstLine="420"/>
        <w:rPr>
          <w:color w:val="auto"/>
        </w:rPr>
      </w:pPr>
      <w:r>
        <w:rPr>
          <w:rFonts w:hint="eastAsia"/>
          <w:color w:val="auto"/>
        </w:rPr>
        <w:t>（二）身体条件符合申请转入专业的体检标准；</w:t>
      </w:r>
    </w:p>
    <w:p>
      <w:pPr>
        <w:pStyle w:val="14"/>
        <w:spacing w:line="302" w:lineRule="exact"/>
        <w:ind w:firstLine="420"/>
        <w:rPr>
          <w:color w:val="auto"/>
        </w:rPr>
      </w:pPr>
      <w:r>
        <w:rPr>
          <w:rFonts w:hint="eastAsia"/>
          <w:color w:val="auto"/>
        </w:rPr>
        <w:t>（三）入学后因患某种疾病或生理缺陷或确有特殊困难，不能在原专业学习，但尚能在本校其他专业学习的学生；</w:t>
      </w:r>
    </w:p>
    <w:p>
      <w:pPr>
        <w:pStyle w:val="14"/>
        <w:spacing w:line="302" w:lineRule="exact"/>
        <w:ind w:firstLine="420"/>
        <w:rPr>
          <w:color w:val="auto"/>
        </w:rPr>
      </w:pPr>
      <w:r>
        <w:rPr>
          <w:rFonts w:hint="eastAsia"/>
          <w:color w:val="auto"/>
        </w:rPr>
        <w:t>（四）社会对人才需求情况发生变化，学校征得学生同意，必要时可以适当调整学生所学专业；</w:t>
      </w:r>
    </w:p>
    <w:p>
      <w:pPr>
        <w:pStyle w:val="14"/>
        <w:spacing w:line="302" w:lineRule="exact"/>
        <w:ind w:firstLine="420"/>
        <w:rPr>
          <w:color w:val="auto"/>
        </w:rPr>
      </w:pPr>
      <w:r>
        <w:rPr>
          <w:rFonts w:hint="eastAsia"/>
          <w:color w:val="auto"/>
        </w:rPr>
        <w:t>（五）休学创业和退役复学的学生；</w:t>
      </w:r>
    </w:p>
    <w:p>
      <w:pPr>
        <w:pStyle w:val="14"/>
        <w:spacing w:line="302" w:lineRule="exact"/>
        <w:ind w:firstLine="420"/>
        <w:rPr>
          <w:color w:val="auto"/>
        </w:rPr>
      </w:pPr>
      <w:r>
        <w:rPr>
          <w:rFonts w:hint="eastAsia"/>
          <w:color w:val="auto"/>
        </w:rPr>
        <w:t>（六）其他符合国家和省教育主管部门转专业有关规定的学生。</w:t>
      </w:r>
    </w:p>
    <w:p>
      <w:pPr>
        <w:pStyle w:val="14"/>
        <w:spacing w:line="302" w:lineRule="exact"/>
        <w:ind w:firstLine="420"/>
        <w:rPr>
          <w:color w:val="auto"/>
        </w:rPr>
      </w:pPr>
      <w:r>
        <w:rPr>
          <w:rFonts w:hint="eastAsia"/>
          <w:color w:val="auto"/>
        </w:rPr>
        <w:t>（七）具有下列情况之一的学生，原则上不得转专业：</w:t>
      </w:r>
    </w:p>
    <w:p>
      <w:pPr>
        <w:pStyle w:val="14"/>
        <w:spacing w:line="302" w:lineRule="exact"/>
        <w:ind w:firstLine="420"/>
        <w:rPr>
          <w:color w:val="auto"/>
        </w:rPr>
      </w:pPr>
      <w:r>
        <w:rPr>
          <w:rFonts w:hint="eastAsia"/>
          <w:color w:val="auto"/>
        </w:rPr>
        <w:t>1.未报到入学、未注册取得学籍或入学未满一学期的；</w:t>
      </w:r>
    </w:p>
    <w:p>
      <w:pPr>
        <w:pStyle w:val="14"/>
        <w:spacing w:line="302" w:lineRule="exact"/>
        <w:ind w:firstLine="420"/>
        <w:rPr>
          <w:color w:val="auto"/>
        </w:rPr>
      </w:pPr>
      <w:r>
        <w:rPr>
          <w:rFonts w:hint="eastAsia"/>
          <w:color w:val="auto"/>
        </w:rPr>
        <w:t>2.由低学历层次转为高学历层次的；</w:t>
      </w:r>
    </w:p>
    <w:p>
      <w:pPr>
        <w:pStyle w:val="14"/>
        <w:spacing w:line="302" w:lineRule="exact"/>
        <w:ind w:firstLine="420"/>
        <w:rPr>
          <w:color w:val="auto"/>
        </w:rPr>
      </w:pPr>
      <w:r>
        <w:rPr>
          <w:rFonts w:hint="eastAsia"/>
          <w:color w:val="auto"/>
        </w:rPr>
        <w:t>3.由成人类专业转入普通类专业的；</w:t>
      </w:r>
    </w:p>
    <w:p>
      <w:pPr>
        <w:pStyle w:val="14"/>
        <w:spacing w:line="302" w:lineRule="exact"/>
        <w:ind w:firstLine="420"/>
        <w:rPr>
          <w:color w:val="auto"/>
        </w:rPr>
      </w:pPr>
      <w:r>
        <w:rPr>
          <w:rFonts w:hint="eastAsia"/>
          <w:color w:val="auto"/>
        </w:rPr>
        <w:t>4.未经全国统一高考招收的特殊录取类型学生，含专转本、3+4、3+2等项目；</w:t>
      </w:r>
    </w:p>
    <w:p>
      <w:pPr>
        <w:pStyle w:val="14"/>
        <w:spacing w:line="302" w:lineRule="exact"/>
        <w:ind w:firstLine="420"/>
        <w:rPr>
          <w:color w:val="auto"/>
        </w:rPr>
      </w:pPr>
      <w:r>
        <w:rPr>
          <w:rFonts w:hint="eastAsia"/>
          <w:color w:val="auto"/>
        </w:rPr>
        <w:t>5.所修学分已修满教学计划规定总学分的三分之二及以上的；</w:t>
      </w:r>
    </w:p>
    <w:p>
      <w:pPr>
        <w:pStyle w:val="14"/>
        <w:spacing w:line="302" w:lineRule="exact"/>
        <w:ind w:firstLine="420"/>
        <w:rPr>
          <w:color w:val="auto"/>
        </w:rPr>
      </w:pPr>
      <w:r>
        <w:rPr>
          <w:rFonts w:hint="eastAsia"/>
          <w:color w:val="auto"/>
        </w:rPr>
        <w:t>6.休学期间的；</w:t>
      </w:r>
    </w:p>
    <w:p>
      <w:pPr>
        <w:pStyle w:val="14"/>
        <w:spacing w:line="302" w:lineRule="exact"/>
        <w:ind w:firstLine="420"/>
        <w:rPr>
          <w:color w:val="auto"/>
        </w:rPr>
      </w:pPr>
      <w:r>
        <w:rPr>
          <w:rFonts w:hint="eastAsia"/>
          <w:color w:val="auto"/>
        </w:rPr>
        <w:t>7.受处分且未解除的；</w:t>
      </w:r>
    </w:p>
    <w:p>
      <w:pPr>
        <w:pStyle w:val="14"/>
        <w:spacing w:line="302" w:lineRule="exact"/>
        <w:ind w:firstLine="420"/>
        <w:rPr>
          <w:color w:val="auto"/>
        </w:rPr>
      </w:pPr>
      <w:r>
        <w:rPr>
          <w:rFonts w:hint="eastAsia"/>
          <w:color w:val="auto"/>
        </w:rPr>
        <w:t>8.艺术类专业录取的学生转到普通类专业的；</w:t>
      </w:r>
    </w:p>
    <w:p>
      <w:pPr>
        <w:pStyle w:val="14"/>
        <w:spacing w:line="302" w:lineRule="exact"/>
        <w:ind w:firstLine="420"/>
        <w:rPr>
          <w:color w:val="auto"/>
        </w:rPr>
      </w:pPr>
      <w:r>
        <w:rPr>
          <w:rFonts w:hint="eastAsia"/>
          <w:color w:val="auto"/>
        </w:rPr>
        <w:t>9.有转学经历的；</w:t>
      </w:r>
    </w:p>
    <w:p>
      <w:pPr>
        <w:pStyle w:val="14"/>
        <w:spacing w:line="302" w:lineRule="exact"/>
        <w:ind w:firstLine="420"/>
        <w:rPr>
          <w:color w:val="auto"/>
        </w:rPr>
      </w:pPr>
      <w:r>
        <w:rPr>
          <w:rFonts w:hint="eastAsia"/>
          <w:color w:val="auto"/>
        </w:rPr>
        <w:t>10.国家和省教育主管部门规定的其它不得转专业的情形。</w:t>
      </w:r>
    </w:p>
    <w:p>
      <w:pPr>
        <w:pStyle w:val="14"/>
        <w:spacing w:line="302" w:lineRule="exact"/>
        <w:ind w:firstLine="420"/>
        <w:rPr>
          <w:color w:val="auto"/>
        </w:rPr>
      </w:pPr>
      <w:r>
        <w:rPr>
          <w:rFonts w:hint="eastAsia"/>
          <w:color w:val="auto"/>
        </w:rPr>
        <w:t>第四条  优秀生类转专业工作</w:t>
      </w:r>
    </w:p>
    <w:p>
      <w:pPr>
        <w:pStyle w:val="14"/>
        <w:spacing w:line="302" w:lineRule="exact"/>
        <w:ind w:firstLine="420"/>
        <w:rPr>
          <w:color w:val="auto"/>
        </w:rPr>
      </w:pPr>
      <w:r>
        <w:rPr>
          <w:rFonts w:hint="eastAsia"/>
          <w:color w:val="auto"/>
        </w:rPr>
        <w:t>（一）具体要求</w:t>
      </w:r>
    </w:p>
    <w:p>
      <w:pPr>
        <w:pStyle w:val="14"/>
        <w:spacing w:line="302" w:lineRule="exact"/>
        <w:ind w:firstLine="420"/>
        <w:rPr>
          <w:color w:val="auto"/>
        </w:rPr>
      </w:pPr>
      <w:r>
        <w:rPr>
          <w:rFonts w:hint="eastAsia"/>
          <w:color w:val="auto"/>
        </w:rPr>
        <w:t>1.转入专业为除艺术类等受限专业外的其它专业；</w:t>
      </w:r>
    </w:p>
    <w:p>
      <w:pPr>
        <w:pStyle w:val="14"/>
        <w:spacing w:line="302" w:lineRule="exact"/>
        <w:ind w:firstLine="420"/>
        <w:rPr>
          <w:color w:val="auto"/>
        </w:rPr>
      </w:pPr>
      <w:r>
        <w:rPr>
          <w:rFonts w:hint="eastAsia"/>
          <w:color w:val="auto"/>
        </w:rPr>
        <w:t>2.各专业申请转出和转入人数应分别控制在该专业一年级学生数的15%以内，具体按学院当年转专业工作文件执行；</w:t>
      </w:r>
    </w:p>
    <w:p>
      <w:pPr>
        <w:pStyle w:val="14"/>
        <w:spacing w:line="302" w:lineRule="exact"/>
        <w:ind w:firstLine="420"/>
        <w:rPr>
          <w:color w:val="auto"/>
        </w:rPr>
      </w:pPr>
      <w:r>
        <w:rPr>
          <w:rFonts w:hint="eastAsia"/>
          <w:color w:val="auto"/>
        </w:rPr>
        <w:t>3.申请学生应获得第一学期全部修读学分，且必修课程无补考，平均学分绩点在本专业排名前30%，经审核后认定具有转专业资格；</w:t>
      </w:r>
    </w:p>
    <w:p>
      <w:pPr>
        <w:pStyle w:val="14"/>
        <w:spacing w:line="302" w:lineRule="exact"/>
        <w:ind w:firstLine="420"/>
        <w:rPr>
          <w:color w:val="auto"/>
        </w:rPr>
      </w:pPr>
      <w:r>
        <w:rPr>
          <w:rFonts w:hint="eastAsia"/>
          <w:color w:val="auto"/>
        </w:rPr>
        <w:t>4.转专业的学生须获得第二学期全部修读学分，必修课程无补考、缓考，且一年级平均学分绩点在本专业排名前30%；</w:t>
      </w:r>
    </w:p>
    <w:p>
      <w:pPr>
        <w:pStyle w:val="14"/>
        <w:spacing w:line="302" w:lineRule="exact"/>
        <w:ind w:firstLine="420"/>
        <w:rPr>
          <w:color w:val="auto"/>
        </w:rPr>
      </w:pPr>
      <w:r>
        <w:rPr>
          <w:rFonts w:hint="eastAsia"/>
          <w:color w:val="auto"/>
        </w:rPr>
        <w:t>5.由转入学院对学生进行考核并确定转入专业和转入年级。</w:t>
      </w:r>
    </w:p>
    <w:p>
      <w:pPr>
        <w:pStyle w:val="14"/>
        <w:spacing w:line="302" w:lineRule="exact"/>
        <w:ind w:firstLine="420"/>
        <w:rPr>
          <w:color w:val="auto"/>
        </w:rPr>
      </w:pPr>
      <w:r>
        <w:rPr>
          <w:rFonts w:hint="eastAsia"/>
          <w:color w:val="auto"/>
        </w:rPr>
        <w:t>（二）工作程序</w:t>
      </w:r>
    </w:p>
    <w:p>
      <w:pPr>
        <w:pStyle w:val="14"/>
        <w:spacing w:line="302" w:lineRule="exact"/>
        <w:ind w:firstLine="420"/>
        <w:rPr>
          <w:color w:val="auto"/>
        </w:rPr>
      </w:pPr>
      <w:r>
        <w:rPr>
          <w:rFonts w:hint="eastAsia"/>
          <w:color w:val="auto"/>
        </w:rPr>
        <w:t>1.各学院成立以院长为组长的转专业工作组，确定各专业可转入转出人数，制定本学院转专业工作实施方案，报教学科研处审核后公布；</w:t>
      </w:r>
    </w:p>
    <w:p>
      <w:pPr>
        <w:pStyle w:val="14"/>
        <w:spacing w:line="302" w:lineRule="exact"/>
        <w:ind w:firstLine="420"/>
        <w:rPr>
          <w:color w:val="auto"/>
        </w:rPr>
      </w:pPr>
      <w:r>
        <w:rPr>
          <w:rFonts w:hint="eastAsia"/>
          <w:color w:val="auto"/>
        </w:rPr>
        <w:t>2.各学院应提供咨询服务，帮助学生了解本学院专业情况和特色；</w:t>
      </w:r>
    </w:p>
    <w:p>
      <w:pPr>
        <w:pStyle w:val="14"/>
        <w:spacing w:line="302" w:lineRule="exact"/>
        <w:ind w:firstLine="420"/>
        <w:rPr>
          <w:color w:val="auto"/>
        </w:rPr>
      </w:pPr>
      <w:r>
        <w:rPr>
          <w:rFonts w:hint="eastAsia"/>
          <w:color w:val="auto"/>
        </w:rPr>
        <w:t>3.申请转专业的学生应按学校转专业工作通知要求的时间提交转专业申请表，并附所在学院打印的简易成绩单（加盖学院公章），递交所在学院，逾期不予受理；</w:t>
      </w:r>
    </w:p>
    <w:p>
      <w:pPr>
        <w:pStyle w:val="14"/>
        <w:spacing w:line="302" w:lineRule="exact"/>
        <w:ind w:firstLine="420"/>
        <w:rPr>
          <w:color w:val="auto"/>
        </w:rPr>
      </w:pPr>
      <w:r>
        <w:rPr>
          <w:rFonts w:hint="eastAsia"/>
          <w:color w:val="auto"/>
        </w:rPr>
        <w:t>4.各学院组织学院内考核，在学院内公布同意转出的学生名单，并将汇总表和学生申请材料报教学科研处；</w:t>
      </w:r>
    </w:p>
    <w:p>
      <w:pPr>
        <w:pStyle w:val="14"/>
        <w:spacing w:line="302" w:lineRule="exact"/>
        <w:ind w:firstLine="420"/>
        <w:rPr>
          <w:color w:val="auto"/>
        </w:rPr>
      </w:pPr>
      <w:r>
        <w:rPr>
          <w:rFonts w:hint="eastAsia"/>
          <w:color w:val="auto"/>
        </w:rPr>
        <w:t>5.教学科研处审核申请材料，并转至相应转入学院；</w:t>
      </w:r>
    </w:p>
    <w:p>
      <w:pPr>
        <w:pStyle w:val="14"/>
        <w:spacing w:line="302" w:lineRule="exact"/>
        <w:ind w:firstLine="420"/>
        <w:rPr>
          <w:color w:val="auto"/>
        </w:rPr>
      </w:pPr>
      <w:r>
        <w:rPr>
          <w:rFonts w:hint="eastAsia"/>
          <w:color w:val="auto"/>
        </w:rPr>
        <w:t>6.各学院根据本学院转专业工作实施方案进行考核，初步确定转入人选，经教学科研处审核后发布具有转专业资格的学生名单；</w:t>
      </w:r>
    </w:p>
    <w:p>
      <w:pPr>
        <w:pStyle w:val="14"/>
        <w:spacing w:line="302" w:lineRule="exact"/>
        <w:ind w:firstLine="420"/>
        <w:rPr>
          <w:color w:val="auto"/>
        </w:rPr>
      </w:pPr>
      <w:r>
        <w:rPr>
          <w:rFonts w:hint="eastAsia"/>
          <w:color w:val="auto"/>
        </w:rPr>
        <w:t>7.第一学年结束时，教学科研处进行审核，并公布结果。</w:t>
      </w:r>
    </w:p>
    <w:p>
      <w:pPr>
        <w:pStyle w:val="14"/>
        <w:spacing w:line="302" w:lineRule="exact"/>
        <w:ind w:firstLine="420"/>
        <w:rPr>
          <w:color w:val="auto"/>
        </w:rPr>
      </w:pPr>
      <w:r>
        <w:rPr>
          <w:rFonts w:hint="eastAsia"/>
          <w:color w:val="auto"/>
        </w:rPr>
        <w:t>第五条  专业特长类转专业工作</w:t>
      </w:r>
    </w:p>
    <w:p>
      <w:pPr>
        <w:pStyle w:val="14"/>
        <w:spacing w:line="302" w:lineRule="exact"/>
        <w:ind w:firstLine="420"/>
        <w:rPr>
          <w:color w:val="auto"/>
        </w:rPr>
      </w:pPr>
      <w:r>
        <w:rPr>
          <w:rFonts w:hint="eastAsia"/>
          <w:color w:val="auto"/>
        </w:rPr>
        <w:t>（一）具体要求</w:t>
      </w:r>
    </w:p>
    <w:p>
      <w:pPr>
        <w:pStyle w:val="14"/>
        <w:spacing w:line="302" w:lineRule="exact"/>
        <w:ind w:firstLine="420"/>
        <w:rPr>
          <w:color w:val="auto"/>
        </w:rPr>
      </w:pPr>
      <w:r>
        <w:rPr>
          <w:rFonts w:hint="eastAsia"/>
          <w:color w:val="auto"/>
        </w:rPr>
        <w:t>1.转入专业为学生具有相关特长的专业；</w:t>
      </w:r>
    </w:p>
    <w:p>
      <w:pPr>
        <w:pStyle w:val="14"/>
        <w:spacing w:line="302" w:lineRule="exact"/>
        <w:ind w:firstLine="420"/>
        <w:rPr>
          <w:color w:val="auto"/>
        </w:rPr>
      </w:pPr>
      <w:r>
        <w:rPr>
          <w:rFonts w:hint="eastAsia"/>
          <w:color w:val="auto"/>
        </w:rPr>
        <w:t>2.申请学生平均学分绩点达2.0，各专业申请转出和转入人数应控制在各专业一年级学生数的5%；</w:t>
      </w:r>
    </w:p>
    <w:p>
      <w:pPr>
        <w:pStyle w:val="14"/>
        <w:spacing w:line="302" w:lineRule="exact"/>
        <w:ind w:firstLine="420"/>
        <w:rPr>
          <w:color w:val="auto"/>
        </w:rPr>
      </w:pPr>
      <w:r>
        <w:rPr>
          <w:rFonts w:hint="eastAsia"/>
          <w:color w:val="auto"/>
        </w:rPr>
        <w:t>3.申请学生须提交申请书并提供转入专业（方向）相关领域两名以上专家（至少一人为副教授）的推荐信及证明其学科特长的相关材料（包括获奖、鉴定证书，发表论文等）；</w:t>
      </w:r>
    </w:p>
    <w:p>
      <w:pPr>
        <w:pStyle w:val="14"/>
        <w:spacing w:line="302" w:lineRule="exact"/>
        <w:ind w:firstLine="420"/>
        <w:rPr>
          <w:color w:val="auto"/>
        </w:rPr>
      </w:pPr>
      <w:r>
        <w:rPr>
          <w:rFonts w:hint="eastAsia"/>
          <w:color w:val="auto"/>
        </w:rPr>
        <w:t>4.教学科研处会同相关学院聘请专家对申请学生的特长进行认定，必要时进行面试，初定转专业学生及转入年级；</w:t>
      </w:r>
    </w:p>
    <w:p>
      <w:pPr>
        <w:pStyle w:val="14"/>
        <w:spacing w:line="302" w:lineRule="exact"/>
        <w:ind w:firstLine="420"/>
        <w:rPr>
          <w:color w:val="auto"/>
        </w:rPr>
      </w:pPr>
      <w:r>
        <w:rPr>
          <w:rFonts w:hint="eastAsia"/>
          <w:color w:val="auto"/>
        </w:rPr>
        <w:t>5.转专业的学生须获得第一学年修读学分，经教学科研处会同相关学院考核，学习情况及综合表现合格。</w:t>
      </w:r>
    </w:p>
    <w:p>
      <w:pPr>
        <w:pStyle w:val="14"/>
        <w:spacing w:line="302" w:lineRule="exact"/>
        <w:ind w:firstLine="420"/>
        <w:rPr>
          <w:color w:val="auto"/>
        </w:rPr>
      </w:pPr>
      <w:r>
        <w:rPr>
          <w:rFonts w:hint="eastAsia"/>
          <w:color w:val="auto"/>
        </w:rPr>
        <w:t>（二）工作程序</w:t>
      </w:r>
    </w:p>
    <w:p>
      <w:pPr>
        <w:pStyle w:val="14"/>
        <w:spacing w:line="302" w:lineRule="exact"/>
        <w:ind w:firstLine="420"/>
        <w:rPr>
          <w:color w:val="auto"/>
        </w:rPr>
      </w:pPr>
      <w:r>
        <w:rPr>
          <w:rFonts w:hint="eastAsia"/>
          <w:color w:val="auto"/>
        </w:rPr>
        <w:t>1.申请转专业学生按学校转专业工作通知要求的时间提交转专业申请表、当前所在学院打印的简易成绩单（加盖学院公章）和相关证明材料，经学院初审后，将申请学生名单递交教学科研处，逾期不予受理；</w:t>
      </w:r>
    </w:p>
    <w:p>
      <w:pPr>
        <w:pStyle w:val="14"/>
        <w:spacing w:line="302" w:lineRule="exact"/>
        <w:ind w:firstLine="420"/>
        <w:rPr>
          <w:color w:val="auto"/>
        </w:rPr>
      </w:pPr>
      <w:r>
        <w:rPr>
          <w:rFonts w:hint="eastAsia"/>
          <w:color w:val="auto"/>
        </w:rPr>
        <w:t>2.教学科研处组织专家对学生的专业特长进行认定；</w:t>
      </w:r>
    </w:p>
    <w:p>
      <w:pPr>
        <w:pStyle w:val="14"/>
        <w:spacing w:line="302" w:lineRule="exact"/>
        <w:ind w:firstLine="420"/>
        <w:rPr>
          <w:color w:val="auto"/>
        </w:rPr>
      </w:pPr>
      <w:r>
        <w:rPr>
          <w:rFonts w:hint="eastAsia"/>
          <w:color w:val="auto"/>
        </w:rPr>
        <w:t>3.第一学年结束时，教学科研处会同相关学院对学生学习情况及综合表现进行考核并公布结果。</w:t>
      </w:r>
    </w:p>
    <w:p>
      <w:pPr>
        <w:pStyle w:val="14"/>
        <w:spacing w:line="302" w:lineRule="exact"/>
        <w:ind w:firstLine="420"/>
        <w:rPr>
          <w:color w:val="auto"/>
        </w:rPr>
      </w:pPr>
      <w:r>
        <w:rPr>
          <w:rFonts w:hint="eastAsia"/>
          <w:color w:val="auto"/>
        </w:rPr>
        <w:t>第六条  专业志趣类转专业工作</w:t>
      </w:r>
    </w:p>
    <w:p>
      <w:pPr>
        <w:pStyle w:val="14"/>
        <w:spacing w:line="302" w:lineRule="exact"/>
        <w:ind w:firstLine="420"/>
        <w:rPr>
          <w:color w:val="auto"/>
        </w:rPr>
      </w:pPr>
      <w:r>
        <w:rPr>
          <w:rFonts w:hint="eastAsia"/>
          <w:color w:val="auto"/>
        </w:rPr>
        <w:t>（一）具体要求</w:t>
      </w:r>
    </w:p>
    <w:p>
      <w:pPr>
        <w:pStyle w:val="14"/>
        <w:spacing w:line="302" w:lineRule="exact"/>
        <w:ind w:firstLine="420"/>
        <w:rPr>
          <w:color w:val="auto"/>
        </w:rPr>
      </w:pPr>
      <w:r>
        <w:rPr>
          <w:rFonts w:hint="eastAsia"/>
          <w:color w:val="auto"/>
        </w:rPr>
        <w:t>1.学习态度端正，对其他专业有较强学习兴趣；</w:t>
      </w:r>
    </w:p>
    <w:p>
      <w:pPr>
        <w:pStyle w:val="14"/>
        <w:spacing w:line="302" w:lineRule="exact"/>
        <w:ind w:firstLine="420"/>
        <w:rPr>
          <w:color w:val="auto"/>
        </w:rPr>
      </w:pPr>
      <w:r>
        <w:rPr>
          <w:rFonts w:hint="eastAsia"/>
          <w:color w:val="auto"/>
        </w:rPr>
        <w:t>2.各专业申请转出和转入人数应控制在各专业一年级学生数的10%；</w:t>
      </w:r>
    </w:p>
    <w:p>
      <w:pPr>
        <w:pStyle w:val="14"/>
        <w:spacing w:line="302" w:lineRule="exact"/>
        <w:ind w:firstLine="420"/>
        <w:rPr>
          <w:color w:val="auto"/>
        </w:rPr>
      </w:pPr>
      <w:r>
        <w:rPr>
          <w:rFonts w:hint="eastAsia"/>
          <w:color w:val="auto"/>
        </w:rPr>
        <w:t>3.教学科研处会同相关学院聘请专家对申请学生适合学习的专业和年级进行认定，根据学生学习能力，可在同年级试读一年或转入下一年级学习；</w:t>
      </w:r>
    </w:p>
    <w:p>
      <w:pPr>
        <w:pStyle w:val="14"/>
        <w:spacing w:line="302" w:lineRule="exact"/>
        <w:ind w:firstLine="420"/>
        <w:rPr>
          <w:color w:val="auto"/>
        </w:rPr>
      </w:pPr>
      <w:r>
        <w:rPr>
          <w:rFonts w:hint="eastAsia"/>
          <w:color w:val="auto"/>
        </w:rPr>
        <w:t>4.学生应根据转入专业培养要求及自身情况制定学习计划，经转入学院审核同意，报教学科研处备案。</w:t>
      </w:r>
    </w:p>
    <w:p>
      <w:pPr>
        <w:pStyle w:val="14"/>
        <w:spacing w:line="302" w:lineRule="exact"/>
        <w:ind w:firstLine="420"/>
        <w:rPr>
          <w:color w:val="auto"/>
        </w:rPr>
      </w:pPr>
      <w:r>
        <w:rPr>
          <w:rFonts w:hint="eastAsia"/>
          <w:color w:val="auto"/>
        </w:rPr>
        <w:t>（二）工作程序</w:t>
      </w:r>
    </w:p>
    <w:p>
      <w:pPr>
        <w:pStyle w:val="14"/>
        <w:spacing w:line="302" w:lineRule="exact"/>
        <w:ind w:firstLine="420"/>
        <w:rPr>
          <w:color w:val="auto"/>
        </w:rPr>
      </w:pPr>
      <w:r>
        <w:rPr>
          <w:rFonts w:hint="eastAsia"/>
          <w:color w:val="auto"/>
        </w:rPr>
        <w:t>1.申请转专业学生按学校转专业工作通知要求的时间提交转专业申请表、当前所在学院打印的简易成绩单（加盖学院公章）和相关证明材料，经学院初审后，将拟同意转专业学生名单汇总表递交教学科研处，逾期不予受理；</w:t>
      </w:r>
    </w:p>
    <w:p>
      <w:pPr>
        <w:pStyle w:val="14"/>
        <w:spacing w:line="302" w:lineRule="exact"/>
        <w:ind w:firstLine="420"/>
        <w:rPr>
          <w:color w:val="auto"/>
        </w:rPr>
      </w:pPr>
      <w:r>
        <w:rPr>
          <w:rFonts w:hint="eastAsia"/>
          <w:color w:val="auto"/>
        </w:rPr>
        <w:t>2.教学科研处组织专家对学生适合学习的专业进行认定；</w:t>
      </w:r>
    </w:p>
    <w:p>
      <w:pPr>
        <w:pStyle w:val="14"/>
        <w:spacing w:line="302" w:lineRule="exact"/>
        <w:ind w:firstLine="420"/>
        <w:rPr>
          <w:color w:val="auto"/>
        </w:rPr>
      </w:pPr>
      <w:r>
        <w:rPr>
          <w:rFonts w:hint="eastAsia"/>
          <w:color w:val="auto"/>
        </w:rPr>
        <w:t>3.第一学年结束时，教学科研处公布结果。</w:t>
      </w:r>
    </w:p>
    <w:p>
      <w:pPr>
        <w:pStyle w:val="14"/>
        <w:spacing w:line="302" w:lineRule="exact"/>
        <w:ind w:firstLine="420"/>
        <w:rPr>
          <w:color w:val="auto"/>
        </w:rPr>
      </w:pPr>
      <w:r>
        <w:rPr>
          <w:rFonts w:hint="eastAsia"/>
          <w:color w:val="auto"/>
        </w:rPr>
        <w:t>第七条  专项项目类转专业工作</w:t>
      </w:r>
    </w:p>
    <w:p>
      <w:pPr>
        <w:pStyle w:val="14"/>
        <w:spacing w:line="302" w:lineRule="exact"/>
        <w:ind w:firstLine="420"/>
        <w:rPr>
          <w:color w:val="auto"/>
        </w:rPr>
      </w:pPr>
      <w:r>
        <w:rPr>
          <w:rFonts w:hint="eastAsia"/>
          <w:color w:val="auto"/>
        </w:rPr>
        <w:t>（一）具体要求：见专项项目通知要求。</w:t>
      </w:r>
    </w:p>
    <w:p>
      <w:pPr>
        <w:pStyle w:val="14"/>
        <w:spacing w:line="302" w:lineRule="exact"/>
        <w:ind w:firstLine="420"/>
        <w:rPr>
          <w:color w:val="auto"/>
        </w:rPr>
      </w:pPr>
      <w:r>
        <w:rPr>
          <w:rFonts w:hint="eastAsia"/>
          <w:color w:val="auto"/>
        </w:rPr>
        <w:t>（二）工作程序</w:t>
      </w:r>
    </w:p>
    <w:p>
      <w:pPr>
        <w:pStyle w:val="14"/>
        <w:spacing w:line="302" w:lineRule="exact"/>
        <w:ind w:firstLine="420"/>
        <w:rPr>
          <w:color w:val="auto"/>
        </w:rPr>
      </w:pPr>
      <w:r>
        <w:rPr>
          <w:rFonts w:hint="eastAsia"/>
          <w:color w:val="auto"/>
        </w:rPr>
        <w:t>1.项目承办学院负责发布项目选拔通知，并提供咨询服务，帮助学生了解专业情况和特色；</w:t>
      </w:r>
    </w:p>
    <w:p>
      <w:pPr>
        <w:pStyle w:val="14"/>
        <w:spacing w:line="302" w:lineRule="exact"/>
        <w:ind w:firstLine="420"/>
        <w:rPr>
          <w:color w:val="auto"/>
        </w:rPr>
      </w:pPr>
      <w:r>
        <w:rPr>
          <w:rFonts w:hint="eastAsia"/>
          <w:color w:val="auto"/>
        </w:rPr>
        <w:t>2.申请学生填写转专业申请表，并附所在学院打印的简易成绩单（加盖学院公章），递交所在学院；</w:t>
      </w:r>
    </w:p>
    <w:p>
      <w:pPr>
        <w:pStyle w:val="14"/>
        <w:spacing w:line="302" w:lineRule="exact"/>
        <w:ind w:firstLine="420"/>
        <w:rPr>
          <w:color w:val="auto"/>
        </w:rPr>
      </w:pPr>
      <w:r>
        <w:rPr>
          <w:rFonts w:hint="eastAsia"/>
          <w:color w:val="auto"/>
        </w:rPr>
        <w:t>3.项目承办学院根据项目具体要求，对申请学生进行初选，初选名单确定后报教学科研处；</w:t>
      </w:r>
    </w:p>
    <w:p>
      <w:pPr>
        <w:pStyle w:val="14"/>
        <w:spacing w:line="302" w:lineRule="exact"/>
        <w:ind w:firstLine="420"/>
        <w:rPr>
          <w:color w:val="auto"/>
        </w:rPr>
      </w:pPr>
      <w:r>
        <w:rPr>
          <w:rFonts w:hint="eastAsia"/>
          <w:color w:val="auto"/>
        </w:rPr>
        <w:t>4.第一学年结束时，教学科研处进行审核，并公布结果。</w:t>
      </w:r>
    </w:p>
    <w:p>
      <w:pPr>
        <w:pStyle w:val="14"/>
        <w:spacing w:line="302" w:lineRule="exact"/>
        <w:ind w:firstLine="420"/>
        <w:rPr>
          <w:color w:val="auto"/>
        </w:rPr>
      </w:pPr>
      <w:r>
        <w:rPr>
          <w:rFonts w:hint="eastAsia"/>
          <w:color w:val="auto"/>
        </w:rPr>
        <w:t>第八条  相关事项</w:t>
      </w:r>
    </w:p>
    <w:p>
      <w:pPr>
        <w:pStyle w:val="14"/>
        <w:spacing w:line="302" w:lineRule="exact"/>
        <w:ind w:firstLine="420"/>
        <w:rPr>
          <w:color w:val="auto"/>
        </w:rPr>
      </w:pPr>
      <w:r>
        <w:rPr>
          <w:rFonts w:hint="eastAsia"/>
          <w:color w:val="auto"/>
        </w:rPr>
        <w:t>（一）学生在校学习期间可申请转专业一次，原则上在入学第一学年第二学期申请。</w:t>
      </w:r>
    </w:p>
    <w:p>
      <w:pPr>
        <w:pStyle w:val="14"/>
        <w:spacing w:line="302" w:lineRule="exact"/>
        <w:ind w:firstLine="420"/>
        <w:rPr>
          <w:color w:val="auto"/>
        </w:rPr>
      </w:pPr>
      <w:r>
        <w:rPr>
          <w:rFonts w:hint="eastAsia"/>
          <w:color w:val="auto"/>
        </w:rPr>
        <w:t>（二）申请转专业学生如需撤销申请，须在递交申请的当学期结束前向教学科研处提出，逾期不予受理。</w:t>
      </w:r>
    </w:p>
    <w:p>
      <w:pPr>
        <w:pStyle w:val="14"/>
        <w:spacing w:line="302" w:lineRule="exact"/>
        <w:ind w:firstLine="420"/>
        <w:rPr>
          <w:color w:val="auto"/>
        </w:rPr>
      </w:pPr>
      <w:r>
        <w:rPr>
          <w:rFonts w:hint="eastAsia"/>
          <w:color w:val="auto"/>
        </w:rPr>
        <w:t>（三）转专业学生在原专业所修的课程，如学时数和基本要求高于转入专业相应课程，则承认该课程的成绩和学分。对于不符合以上条件的课程或转入专业教学计划中有要求而未学的必修课，学生须补修并取得学分。</w:t>
      </w:r>
    </w:p>
    <w:p>
      <w:pPr>
        <w:pStyle w:val="14"/>
        <w:spacing w:line="302" w:lineRule="exact"/>
        <w:ind w:firstLine="420"/>
        <w:rPr>
          <w:color w:val="auto"/>
        </w:rPr>
      </w:pPr>
      <w:r>
        <w:rPr>
          <w:rFonts w:hint="eastAsia"/>
          <w:color w:val="auto"/>
        </w:rPr>
        <w:t>（四）转专业学生在籍年限按《南京航空航天大学金城学院本科生学籍管理办法》规定执行，学生需做好学习规划，确保在最长学习年限内完成学业。</w:t>
      </w:r>
    </w:p>
    <w:p>
      <w:pPr>
        <w:pStyle w:val="14"/>
        <w:spacing w:line="302" w:lineRule="exact"/>
        <w:ind w:firstLine="420"/>
        <w:rPr>
          <w:color w:val="auto"/>
        </w:rPr>
      </w:pPr>
      <w:r>
        <w:rPr>
          <w:rFonts w:hint="eastAsia"/>
          <w:color w:val="auto"/>
        </w:rPr>
        <w:t>（五）学生转专业后，学费按转入专业的学费标准收取。</w:t>
      </w:r>
    </w:p>
    <w:p>
      <w:pPr>
        <w:pStyle w:val="14"/>
        <w:spacing w:line="302" w:lineRule="exact"/>
        <w:ind w:firstLine="420"/>
        <w:rPr>
          <w:color w:val="auto"/>
        </w:rPr>
      </w:pPr>
      <w:r>
        <w:rPr>
          <w:rFonts w:hint="eastAsia"/>
          <w:color w:val="auto"/>
        </w:rPr>
        <w:t>（六）根据教育主管部门相关政策规定，每学年公布各专业的人数容量和准入准出要求，在容量范围内并符合准入准出要求的学生可转入相关专业学习。若申请人数超过专业容量的，则根据学校公布的选拔办法择优遴选，确保公开、公平、公正。</w:t>
      </w:r>
    </w:p>
    <w:p>
      <w:pPr>
        <w:pStyle w:val="14"/>
        <w:spacing w:line="302" w:lineRule="exact"/>
        <w:ind w:firstLine="420"/>
        <w:rPr>
          <w:color w:val="auto"/>
        </w:rPr>
      </w:pPr>
      <w:r>
        <w:rPr>
          <w:rFonts w:hint="eastAsia"/>
          <w:color w:val="auto"/>
        </w:rPr>
        <w:t>第九条  附则</w:t>
      </w:r>
    </w:p>
    <w:p>
      <w:pPr>
        <w:pStyle w:val="14"/>
        <w:spacing w:line="302" w:lineRule="exact"/>
        <w:ind w:firstLine="420"/>
        <w:rPr>
          <w:color w:val="auto"/>
        </w:rPr>
        <w:sectPr>
          <w:headerReference r:id="rId14" w:type="default"/>
          <w:footerReference r:id="rId16" w:type="default"/>
          <w:headerReference r:id="rId15" w:type="even"/>
          <w:footerReference r:id="rId17" w:type="even"/>
          <w:type w:val="continuous"/>
          <w:pgSz w:w="9800" w:h="15120"/>
          <w:pgMar w:top="1043" w:right="652" w:bottom="987" w:left="663" w:header="585" w:footer="3" w:gutter="0"/>
          <w:pgNumType w:fmt="decimal"/>
          <w:cols w:space="720" w:num="1"/>
          <w:docGrid w:linePitch="360" w:charSpace="0"/>
        </w:sectPr>
      </w:pPr>
      <w:r>
        <w:rPr>
          <w:rFonts w:hint="eastAsia"/>
          <w:color w:val="auto"/>
        </w:rPr>
        <w:t>本实施细则自颁布之日起实行，教学科研处负责解释。</w:t>
      </w:r>
    </w:p>
    <w:p>
      <w:pPr>
        <w:keepNext/>
        <w:keepLines/>
        <w:spacing w:before="620" w:after="180" w:line="576" w:lineRule="exact"/>
        <w:jc w:val="center"/>
        <w:outlineLvl w:val="0"/>
        <w:rPr>
          <w:rFonts w:ascii="宋体" w:hAnsi="宋体"/>
          <w:color w:val="auto"/>
          <w:sz w:val="38"/>
          <w:szCs w:val="38"/>
          <w:highlight w:val="none"/>
          <w:lang w:val="zh-TW" w:eastAsia="zh-TW" w:bidi="zh-TW"/>
        </w:rPr>
      </w:pPr>
      <w:bookmarkStart w:id="264" w:name="bookmark474"/>
      <w:bookmarkStart w:id="265" w:name="bookmark476"/>
      <w:bookmarkStart w:id="266" w:name="bookmark475"/>
      <w:bookmarkStart w:id="267" w:name="bookmark739"/>
      <w:bookmarkStart w:id="268" w:name="bookmark740"/>
      <w:bookmarkStart w:id="269" w:name="bookmark738"/>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CN" w:eastAsia="zh-CN" w:bidi="zh-CN"/>
        </w:rPr>
        <w:t>“课</w:t>
      </w:r>
      <w:r>
        <w:rPr>
          <w:rFonts w:ascii="宋体" w:hAnsi="宋体"/>
          <w:color w:val="auto"/>
          <w:sz w:val="38"/>
          <w:szCs w:val="38"/>
          <w:highlight w:val="none"/>
          <w:lang w:val="zh-TW" w:eastAsia="zh-TW" w:bidi="zh-TW"/>
        </w:rPr>
        <w:t>程强化班</w:t>
      </w:r>
      <w:r>
        <w:rPr>
          <w:rFonts w:hint="eastAsia" w:ascii="宋体" w:hAnsi="宋体"/>
          <w:color w:val="auto"/>
          <w:sz w:val="38"/>
          <w:szCs w:val="38"/>
          <w:highlight w:val="none"/>
          <w:lang w:val="zh-TW" w:eastAsia="zh-CN" w:bidi="zh-TW"/>
        </w:rPr>
        <w:t>”</w:t>
      </w:r>
      <w:r>
        <w:rPr>
          <w:rFonts w:ascii="宋体" w:hAnsi="宋体"/>
          <w:color w:val="auto"/>
          <w:sz w:val="38"/>
          <w:szCs w:val="38"/>
          <w:highlight w:val="none"/>
          <w:lang w:val="zh-TW" w:eastAsia="zh-TW" w:bidi="zh-TW"/>
        </w:rPr>
        <w:t>培养工作管理办法</w:t>
      </w:r>
      <w:bookmarkEnd w:id="264"/>
      <w:bookmarkEnd w:id="265"/>
      <w:bookmarkEnd w:id="266"/>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为深化人才培养模式改革，进一步落实因材施教、分层分类培养的目标，学校决定对基础素质良好、发展潜力大，具有创新精神的优秀学生进行分层分类课程强化教学，根据《南京航空航天大学金城学院本科生学籍管理办法》要求，特制订本办法。</w:t>
      </w:r>
    </w:p>
    <w:p>
      <w:pPr>
        <w:pStyle w:val="35"/>
        <w:numPr>
          <w:ilvl w:val="0"/>
          <w:numId w:val="7"/>
        </w:numPr>
        <w:spacing w:line="303" w:lineRule="exact"/>
        <w:ind w:firstLineChars="0"/>
        <w:jc w:val="both"/>
        <w:rPr>
          <w:rFonts w:ascii="宋体" w:hAnsi="宋体" w:eastAsia="PMingLiU"/>
          <w:color w:val="auto"/>
          <w:sz w:val="18"/>
          <w:lang w:val="zh-TW" w:eastAsia="zh-TW" w:bidi="zh-TW"/>
        </w:rPr>
      </w:pPr>
      <w:r>
        <w:rPr>
          <w:rFonts w:ascii="宋体" w:hAnsi="宋体"/>
          <w:color w:val="auto"/>
          <w:sz w:val="18"/>
          <w:lang w:val="zh-TW" w:eastAsia="zh-TW" w:bidi="zh-TW"/>
        </w:rPr>
        <w:t>培养与管理目标</w:t>
      </w:r>
    </w:p>
    <w:p>
      <w:pPr>
        <w:spacing w:line="303" w:lineRule="exact"/>
        <w:ind w:firstLine="360" w:firstLineChars="200"/>
        <w:jc w:val="both"/>
        <w:rPr>
          <w:rFonts w:ascii="宋体" w:hAnsi="宋体"/>
          <w:color w:val="auto"/>
          <w:sz w:val="18"/>
          <w:lang w:val="zh-TW" w:eastAsia="zh-TW" w:bidi="zh-TW"/>
        </w:rPr>
      </w:pPr>
      <w:r>
        <w:rPr>
          <w:rFonts w:ascii="宋体" w:hAnsi="宋体"/>
          <w:color w:val="auto"/>
          <w:sz w:val="18"/>
          <w:lang w:val="zh-TW" w:eastAsia="zh-TW" w:bidi="zh-TW"/>
        </w:rPr>
        <w:t>培养品德优良，工科基础扎实，自主学习能力强，具有较强实践能力和创新精神、具备持续发展潜力的优秀人才。为优秀人才培养进一步发展搭建平台。</w:t>
      </w:r>
    </w:p>
    <w:p>
      <w:pPr>
        <w:spacing w:line="303"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第二条</w:t>
      </w:r>
      <w:r>
        <w:rPr>
          <w:rFonts w:ascii="宋体" w:hAnsi="宋体"/>
          <w:color w:val="auto"/>
          <w:sz w:val="18"/>
          <w:lang w:val="zh-TW" w:eastAsia="zh-TW" w:bidi="zh-TW"/>
        </w:rPr>
        <w:t>建设与管理要求</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）选拔基础知识扎实、素质良好的学生组建</w:t>
      </w:r>
      <w:r>
        <w:rPr>
          <w:rFonts w:ascii="宋体" w:hAnsi="宋体"/>
          <w:color w:val="auto"/>
          <w:sz w:val="18"/>
          <w:lang w:val="zh-CN" w:eastAsia="zh-CN" w:bidi="zh-CN"/>
        </w:rPr>
        <w:t>“课</w:t>
      </w:r>
      <w:r>
        <w:rPr>
          <w:rFonts w:ascii="宋体" w:hAnsi="宋体"/>
          <w:color w:val="auto"/>
          <w:sz w:val="18"/>
          <w:lang w:val="zh-TW" w:eastAsia="zh-TW" w:bidi="zh-TW"/>
        </w:rPr>
        <w:t>程强化班”。</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（二）采取</w:t>
      </w:r>
      <w:r>
        <w:rPr>
          <w:rFonts w:ascii="宋体" w:hAnsi="宋体"/>
          <w:color w:val="auto"/>
          <w:sz w:val="18"/>
          <w:lang w:val="zh-CN" w:eastAsia="zh-CN" w:bidi="zh-CN"/>
        </w:rPr>
        <w:t>“课</w:t>
      </w:r>
      <w:r>
        <w:rPr>
          <w:rFonts w:ascii="宋体" w:hAnsi="宋体"/>
          <w:color w:val="auto"/>
          <w:sz w:val="18"/>
          <w:lang w:val="zh-TW" w:eastAsia="zh-TW" w:bidi="zh-TW"/>
        </w:rPr>
        <w:t>程强化</w:t>
      </w:r>
      <w:r>
        <w:rPr>
          <w:rFonts w:hint="eastAsia" w:ascii="宋体" w:hAnsi="宋体"/>
          <w:color w:val="auto"/>
          <w:sz w:val="18"/>
          <w:lang w:val="zh-TW" w:eastAsia="zh-CN" w:bidi="zh-TW"/>
        </w:rPr>
        <w:t>”</w:t>
      </w:r>
      <w:r>
        <w:rPr>
          <w:rFonts w:ascii="宋体" w:hAnsi="宋体"/>
          <w:color w:val="auto"/>
          <w:sz w:val="18"/>
          <w:lang w:val="zh-TW" w:eastAsia="zh-TW" w:bidi="zh-TW"/>
        </w:rPr>
        <w:t>培养模式。分别针对</w:t>
      </w:r>
      <w:r>
        <w:rPr>
          <w:rFonts w:ascii="宋体" w:hAnsi="宋体"/>
          <w:color w:val="auto"/>
          <w:sz w:val="18"/>
          <w:lang w:val="zh-CN" w:eastAsia="zh-CN" w:bidi="zh-CN"/>
        </w:rPr>
        <w:t>“高等</w:t>
      </w:r>
      <w:r>
        <w:rPr>
          <w:rFonts w:ascii="宋体" w:hAnsi="宋体"/>
          <w:color w:val="auto"/>
          <w:sz w:val="18"/>
          <w:lang w:val="zh-TW" w:eastAsia="zh-TW" w:bidi="zh-TW"/>
        </w:rPr>
        <w:t>数学”</w:t>
      </w:r>
      <w:r>
        <w:rPr>
          <w:rFonts w:ascii="宋体" w:hAnsi="宋体"/>
          <w:color w:val="auto"/>
          <w:sz w:val="18"/>
          <w:lang w:val="zh-CN" w:eastAsia="zh-CN" w:bidi="zh-CN"/>
        </w:rPr>
        <w:t>、“大</w:t>
      </w:r>
      <w:r>
        <w:rPr>
          <w:rFonts w:ascii="宋体" w:hAnsi="宋体"/>
          <w:color w:val="auto"/>
          <w:sz w:val="18"/>
          <w:lang w:val="zh-TW" w:eastAsia="zh-TW" w:bidi="zh-TW"/>
        </w:rPr>
        <w:t>学英语</w:t>
      </w:r>
      <w:r>
        <w:rPr>
          <w:rFonts w:hint="eastAsia" w:ascii="宋体" w:hAnsi="宋体"/>
          <w:color w:val="auto"/>
          <w:sz w:val="18"/>
          <w:lang w:val="zh-TW" w:eastAsia="zh-CN" w:bidi="zh-TW"/>
        </w:rPr>
        <w:t>”</w:t>
      </w:r>
      <w:r>
        <w:rPr>
          <w:rFonts w:ascii="宋体" w:hAnsi="宋体"/>
          <w:color w:val="auto"/>
          <w:sz w:val="18"/>
          <w:lang w:val="zh-TW" w:eastAsia="zh-TW" w:bidi="zh-TW"/>
        </w:rPr>
        <w:t>两类课程开设课程强化班进行强化教学。</w:t>
      </w:r>
    </w:p>
    <w:p>
      <w:pPr>
        <w:spacing w:line="303" w:lineRule="exact"/>
        <w:ind w:firstLine="380"/>
        <w:jc w:val="both"/>
        <w:rPr>
          <w:rFonts w:ascii="宋体" w:hAnsi="宋体"/>
          <w:color w:val="auto"/>
          <w:sz w:val="18"/>
          <w:lang w:val="zh-TW" w:eastAsia="zh-TW" w:bidi="zh-TW"/>
        </w:rPr>
      </w:pPr>
      <w:r>
        <w:rPr>
          <w:rFonts w:ascii="宋体" w:hAnsi="宋体"/>
          <w:color w:val="auto"/>
          <w:sz w:val="18"/>
          <w:lang w:val="zh-TW" w:eastAsia="zh-TW" w:bidi="zh-TW"/>
        </w:rPr>
        <w:t>（三）统筹学校学科基础教育教学的优质资源，保障人才培养目标的实现。</w:t>
      </w:r>
    </w:p>
    <w:p>
      <w:pPr>
        <w:spacing w:line="303" w:lineRule="exact"/>
        <w:ind w:firstLine="380"/>
        <w:jc w:val="both"/>
        <w:rPr>
          <w:rFonts w:ascii="宋体" w:hAnsi="宋体"/>
          <w:color w:val="auto"/>
          <w:sz w:val="18"/>
          <w:lang w:val="zh-TW" w:eastAsia="zh-TW" w:bidi="zh-TW"/>
        </w:rPr>
      </w:pPr>
      <w:r>
        <w:rPr>
          <w:rFonts w:ascii="宋体" w:hAnsi="宋体"/>
          <w:b/>
          <w:bCs/>
          <w:color w:val="auto"/>
          <w:sz w:val="18"/>
          <w:lang w:val="zh-TW" w:eastAsia="zh-TW" w:bidi="zh-TW"/>
        </w:rPr>
        <w:t>第三条</w:t>
      </w:r>
      <w:r>
        <w:rPr>
          <w:rFonts w:ascii="宋体" w:hAnsi="宋体"/>
          <w:color w:val="auto"/>
          <w:sz w:val="18"/>
          <w:lang w:val="zh-TW" w:eastAsia="zh-TW" w:bidi="zh-TW"/>
        </w:rPr>
        <w:t>组织与管理工作</w:t>
      </w:r>
    </w:p>
    <w:p>
      <w:pPr>
        <w:spacing w:line="303" w:lineRule="exact"/>
        <w:ind w:firstLine="420"/>
        <w:jc w:val="both"/>
        <w:rPr>
          <w:rFonts w:ascii="宋体" w:hAnsi="宋体"/>
          <w:color w:val="auto"/>
          <w:sz w:val="18"/>
          <w:lang w:val="zh-TW" w:eastAsia="zh-TW" w:bidi="zh-TW"/>
        </w:rPr>
      </w:pPr>
      <w:r>
        <w:rPr>
          <w:rFonts w:ascii="宋体" w:hAnsi="宋体"/>
          <w:color w:val="auto"/>
          <w:sz w:val="18"/>
          <w:lang w:eastAsia="zh-CN"/>
        </w:rPr>
        <w:t>（</w:t>
      </w:r>
      <w:r>
        <w:rPr>
          <w:rFonts w:hint="eastAsia" w:ascii="宋体" w:hAnsi="宋体"/>
          <w:color w:val="auto"/>
          <w:sz w:val="18"/>
          <w:lang w:eastAsia="zh-CN"/>
        </w:rPr>
        <w:t>一</w:t>
      </w:r>
      <w:r>
        <w:rPr>
          <w:rFonts w:ascii="宋体" w:hAnsi="宋体"/>
          <w:color w:val="auto"/>
          <w:sz w:val="18"/>
          <w:lang w:eastAsia="zh-CN"/>
        </w:rPr>
        <w:t>）</w:t>
      </w:r>
      <w:r>
        <w:rPr>
          <w:rFonts w:ascii="宋体" w:hAnsi="宋体"/>
          <w:color w:val="auto"/>
          <w:sz w:val="18"/>
          <w:lang w:val="zh-TW" w:eastAsia="zh-TW" w:bidi="zh-TW"/>
        </w:rPr>
        <w:t>学校成立</w:t>
      </w:r>
      <w:r>
        <w:rPr>
          <w:rFonts w:ascii="宋体" w:hAnsi="宋体"/>
          <w:color w:val="auto"/>
          <w:sz w:val="18"/>
          <w:lang w:val="zh-CN" w:eastAsia="zh-CN" w:bidi="zh-CN"/>
        </w:rPr>
        <w:t>“课</w:t>
      </w:r>
      <w:r>
        <w:rPr>
          <w:rFonts w:ascii="宋体" w:hAnsi="宋体"/>
          <w:color w:val="auto"/>
          <w:sz w:val="18"/>
          <w:lang w:val="zh-TW" w:eastAsia="zh-TW" w:bidi="zh-TW"/>
        </w:rPr>
        <w:t>程强化班”培养工作组，由教学副校长，教学科研处、基础教学部负责人与相关人员组成。</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w:t>
      </w:r>
      <w:r>
        <w:rPr>
          <w:rFonts w:ascii="宋体" w:hAnsi="宋体"/>
          <w:color w:val="auto"/>
          <w:sz w:val="18"/>
          <w:lang w:val="zh-CN" w:eastAsia="zh-CN" w:bidi="zh-CN"/>
        </w:rPr>
        <w:t>“课程</w:t>
      </w:r>
      <w:r>
        <w:rPr>
          <w:rFonts w:ascii="宋体" w:hAnsi="宋体"/>
          <w:color w:val="auto"/>
          <w:sz w:val="18"/>
          <w:lang w:val="zh-TW" w:eastAsia="zh-TW" w:bidi="zh-TW"/>
        </w:rPr>
        <w:t>强化班</w:t>
      </w:r>
      <w:r>
        <w:rPr>
          <w:rFonts w:ascii="宋体" w:hAnsi="宋体"/>
          <w:color w:val="auto"/>
          <w:sz w:val="18"/>
          <w:lang w:val="zh-CN" w:eastAsia="zh-CN" w:bidi="zh-CN"/>
        </w:rPr>
        <w:t>”培养</w:t>
      </w:r>
      <w:r>
        <w:rPr>
          <w:rFonts w:ascii="宋体" w:hAnsi="宋体"/>
          <w:color w:val="auto"/>
          <w:sz w:val="18"/>
          <w:lang w:val="zh-TW" w:eastAsia="zh-TW" w:bidi="zh-TW"/>
        </w:rPr>
        <w:t>工作组负责“强化班</w:t>
      </w:r>
      <w:r>
        <w:rPr>
          <w:rFonts w:ascii="宋体" w:hAnsi="宋体"/>
          <w:color w:val="auto"/>
          <w:sz w:val="18"/>
          <w:lang w:val="zh-CN" w:eastAsia="zh-CN" w:bidi="zh-CN"/>
        </w:rPr>
        <w:t>”的发</w:t>
      </w:r>
      <w:r>
        <w:rPr>
          <w:rFonts w:ascii="宋体" w:hAnsi="宋体"/>
          <w:color w:val="auto"/>
          <w:sz w:val="18"/>
          <w:lang w:val="zh-TW" w:eastAsia="zh-TW" w:bidi="zh-TW"/>
        </w:rPr>
        <w:t>展定位与规划，制定和优化</w:t>
      </w:r>
      <w:r>
        <w:rPr>
          <w:rFonts w:ascii="宋体" w:hAnsi="宋体"/>
          <w:color w:val="auto"/>
          <w:sz w:val="18"/>
          <w:lang w:val="zh-CN" w:eastAsia="zh-CN" w:bidi="zh-CN"/>
        </w:rPr>
        <w:t>“强</w:t>
      </w:r>
      <w:r>
        <w:rPr>
          <w:rFonts w:ascii="宋体" w:hAnsi="宋体"/>
          <w:color w:val="auto"/>
          <w:sz w:val="18"/>
          <w:lang w:val="zh-TW" w:eastAsia="zh-TW" w:bidi="zh-TW"/>
        </w:rPr>
        <w:t>化班”的选拔方案和培养方案，并负责组织实施、检查、评估和总结等工作，具体工作由教学科研处负责。</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（三）基础教学部负责</w:t>
      </w:r>
      <w:r>
        <w:rPr>
          <w:rFonts w:ascii="宋体" w:hAnsi="宋体"/>
          <w:color w:val="auto"/>
          <w:sz w:val="18"/>
          <w:lang w:val="zh-CN" w:eastAsia="zh-CN" w:bidi="zh-CN"/>
        </w:rPr>
        <w:t>“高</w:t>
      </w:r>
      <w:r>
        <w:rPr>
          <w:rFonts w:ascii="宋体" w:hAnsi="宋体"/>
          <w:color w:val="auto"/>
          <w:sz w:val="18"/>
          <w:lang w:val="zh-TW" w:eastAsia="zh-TW" w:bidi="zh-TW"/>
        </w:rPr>
        <w:t>等数学强化班”、</w:t>
      </w:r>
      <w:r>
        <w:rPr>
          <w:rFonts w:ascii="宋体" w:hAnsi="宋体"/>
          <w:color w:val="auto"/>
          <w:sz w:val="18"/>
          <w:lang w:val="zh-CN" w:eastAsia="zh-CN" w:bidi="zh-CN"/>
        </w:rPr>
        <w:t>“大学</w:t>
      </w:r>
      <w:r>
        <w:rPr>
          <w:rFonts w:ascii="宋体" w:hAnsi="宋体"/>
          <w:color w:val="auto"/>
          <w:sz w:val="18"/>
          <w:lang w:val="zh-TW" w:eastAsia="zh-TW" w:bidi="zh-TW"/>
        </w:rPr>
        <w:t>英语强化班”的聘任教师、学生学习指导、成绩考核等工作。</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（四）教学科研处会同基础教学部负责教学安排、成绩管理等工作。</w:t>
      </w:r>
    </w:p>
    <w:p>
      <w:pPr>
        <w:spacing w:line="303"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第四条</w:t>
      </w:r>
      <w:r>
        <w:rPr>
          <w:rFonts w:ascii="宋体" w:hAnsi="宋体"/>
          <w:color w:val="auto"/>
          <w:sz w:val="18"/>
          <w:lang w:val="zh-TW" w:eastAsia="zh-TW" w:bidi="zh-TW"/>
        </w:rPr>
        <w:t>选拔工作</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）选拔原则：公开、公平、公正，尊重学生意愿择优录取。</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（二）选拔方式：根据当年招生情况，实行推荐与选拔考试相结合的方式，选拔考试主要包括数学、英语。</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（三）选拔对象：新生中高考成绩优异的学生、全国中学生学科或科技竞赛获奖者、新生入学选拔考试成绩优秀者等。</w:t>
      </w:r>
    </w:p>
    <w:p>
      <w:pPr>
        <w:spacing w:line="307" w:lineRule="exact"/>
        <w:ind w:firstLine="420"/>
        <w:jc w:val="both"/>
        <w:rPr>
          <w:rFonts w:hint="eastAsia" w:ascii="宋体" w:hAnsi="宋体"/>
          <w:color w:val="auto"/>
          <w:sz w:val="18"/>
          <w:lang w:val="zh-TW" w:eastAsia="zh-TW" w:bidi="zh-TW"/>
        </w:rPr>
      </w:pPr>
      <w:r>
        <w:rPr>
          <w:rFonts w:ascii="宋体" w:hAnsi="宋体"/>
          <w:color w:val="auto"/>
          <w:sz w:val="18"/>
          <w:lang w:val="zh-TW" w:eastAsia="zh-TW" w:bidi="zh-TW"/>
        </w:rPr>
        <w:t>（四）</w:t>
      </w:r>
      <w:r>
        <w:rPr>
          <w:rFonts w:hint="eastAsia" w:ascii="宋体" w:hAnsi="宋体"/>
          <w:color w:val="auto"/>
          <w:sz w:val="18"/>
          <w:lang w:val="zh-TW" w:eastAsia="zh-TW" w:bidi="zh-TW"/>
        </w:rPr>
        <w:t>选拔人数：招收高等数学强化班（工科）、大学英语强化班（工科）、大学英语强化班（文科）各2-3个班，每班人数80-120人，以每年具体通知为准。</w:t>
      </w:r>
    </w:p>
    <w:p>
      <w:pPr>
        <w:spacing w:line="307"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第五条</w:t>
      </w:r>
      <w:r>
        <w:rPr>
          <w:rFonts w:ascii="宋体" w:hAnsi="宋体"/>
          <w:color w:val="auto"/>
          <w:sz w:val="18"/>
          <w:lang w:val="zh-TW" w:eastAsia="zh-TW" w:bidi="zh-TW"/>
        </w:rPr>
        <w:t>培养机制</w:t>
      </w:r>
    </w:p>
    <w:p>
      <w:pPr>
        <w:spacing w:line="307"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）依据</w:t>
      </w:r>
      <w:r>
        <w:rPr>
          <w:rFonts w:ascii="宋体" w:hAnsi="宋体"/>
          <w:color w:val="auto"/>
          <w:sz w:val="18"/>
          <w:lang w:val="zh-CN" w:eastAsia="zh-CN" w:bidi="zh-CN"/>
        </w:rPr>
        <w:t>“课</w:t>
      </w:r>
      <w:r>
        <w:rPr>
          <w:rFonts w:ascii="宋体" w:hAnsi="宋体"/>
          <w:color w:val="auto"/>
          <w:sz w:val="18"/>
          <w:lang w:val="zh-TW" w:eastAsia="zh-TW" w:bidi="zh-TW"/>
        </w:rPr>
        <w:t>程强化班</w:t>
      </w:r>
      <w:r>
        <w:rPr>
          <w:rFonts w:hint="eastAsia" w:ascii="宋体" w:hAnsi="宋体"/>
          <w:color w:val="auto"/>
          <w:sz w:val="18"/>
          <w:lang w:val="zh-TW" w:eastAsia="zh-CN" w:bidi="zh-TW"/>
        </w:rPr>
        <w:t>”</w:t>
      </w:r>
      <w:r>
        <w:rPr>
          <w:rFonts w:ascii="宋体" w:hAnsi="宋体"/>
          <w:color w:val="auto"/>
          <w:sz w:val="18"/>
          <w:lang w:val="zh-TW" w:eastAsia="zh-TW" w:bidi="zh-TW"/>
        </w:rPr>
        <w:t>培养方案，强化数学、英语能力，提高学生自主学习能力。</w:t>
      </w:r>
    </w:p>
    <w:p>
      <w:pPr>
        <w:tabs>
          <w:tab w:val="left" w:pos="1054"/>
        </w:tabs>
        <w:spacing w:line="307"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（二）强化班教师负责指导学生课程学习，提高知识层次，拓展知识层面，开展课外科技活动（含参加国家、省大学生竞赛），学生升学考研、出国深造与专业实践夯实基础。</w:t>
      </w:r>
    </w:p>
    <w:p>
      <w:pPr>
        <w:tabs>
          <w:tab w:val="left" w:pos="1054"/>
        </w:tabs>
        <w:spacing w:line="307"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w:t>
      </w:r>
      <w:r>
        <w:rPr>
          <w:rFonts w:hint="eastAsia" w:ascii="宋体" w:hAnsi="宋体"/>
          <w:color w:val="auto"/>
          <w:sz w:val="18"/>
          <w:lang w:val="zh-TW" w:eastAsia="zh-CN" w:bidi="zh-TW"/>
        </w:rPr>
        <w:t>“</w:t>
      </w:r>
      <w:r>
        <w:rPr>
          <w:rFonts w:ascii="宋体" w:hAnsi="宋体"/>
          <w:color w:val="auto"/>
          <w:sz w:val="18"/>
          <w:lang w:val="zh-TW" w:eastAsia="zh-TW" w:bidi="zh-TW"/>
        </w:rPr>
        <w:t>课程强化班</w:t>
      </w:r>
      <w:r>
        <w:rPr>
          <w:rFonts w:hint="eastAsia" w:ascii="宋体" w:hAnsi="宋体"/>
          <w:color w:val="auto"/>
          <w:sz w:val="18"/>
          <w:lang w:val="zh-TW" w:eastAsia="zh-CN" w:bidi="zh-TW"/>
        </w:rPr>
        <w:t>”</w:t>
      </w:r>
      <w:r>
        <w:rPr>
          <w:rFonts w:ascii="宋体" w:hAnsi="宋体"/>
          <w:color w:val="auto"/>
          <w:sz w:val="18"/>
          <w:lang w:val="zh-TW" w:eastAsia="zh-TW" w:bidi="zh-TW"/>
        </w:rPr>
        <w:t>考核合格学生如有转专业需求，可按照学校《本科生转专业试行办法》中相关规定优先执行。</w:t>
      </w:r>
    </w:p>
    <w:p>
      <w:pPr>
        <w:tabs>
          <w:tab w:val="left" w:pos="1069"/>
        </w:tabs>
        <w:spacing w:line="307"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（四）学校选聘校内外优秀教师，承担</w:t>
      </w:r>
      <w:r>
        <w:rPr>
          <w:rFonts w:ascii="宋体" w:hAnsi="宋体"/>
          <w:color w:val="auto"/>
          <w:sz w:val="18"/>
          <w:lang w:val="zh-CN" w:eastAsia="zh-CN" w:bidi="zh-CN"/>
        </w:rPr>
        <w:t>“课</w:t>
      </w:r>
      <w:r>
        <w:rPr>
          <w:rFonts w:ascii="宋体" w:hAnsi="宋体"/>
          <w:color w:val="auto"/>
          <w:sz w:val="18"/>
          <w:lang w:val="zh-TW" w:eastAsia="zh-TW" w:bidi="zh-TW"/>
        </w:rPr>
        <w:t>程强化班”教学，学校安排专用教室。学生在借阅图书资料方面享受毕业班学生待遇，在申请创新性、综合性实验实训计划项目、参加课外科技活动（含参加国家、省大学生科技竞赛）、学科竞赛等方面给予优先考虑。</w:t>
      </w:r>
    </w:p>
    <w:p>
      <w:pPr>
        <w:tabs>
          <w:tab w:val="left" w:pos="1040"/>
        </w:tabs>
        <w:spacing w:line="278"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（五）学校对</w:t>
      </w:r>
      <w:r>
        <w:rPr>
          <w:rFonts w:ascii="宋体" w:hAnsi="宋体"/>
          <w:color w:val="auto"/>
          <w:sz w:val="18"/>
          <w:lang w:val="zh-CN" w:eastAsia="zh-CN" w:bidi="zh-CN"/>
        </w:rPr>
        <w:t>“课</w:t>
      </w:r>
      <w:r>
        <w:rPr>
          <w:rFonts w:ascii="宋体" w:hAnsi="宋体"/>
          <w:color w:val="auto"/>
          <w:sz w:val="18"/>
          <w:lang w:val="zh-TW" w:eastAsia="zh-TW" w:bidi="zh-TW"/>
        </w:rPr>
        <w:t>程强化班</w:t>
      </w:r>
      <w:r>
        <w:rPr>
          <w:rFonts w:hint="eastAsia" w:ascii="宋体" w:hAnsi="宋体"/>
          <w:color w:val="auto"/>
          <w:sz w:val="18"/>
          <w:lang w:val="zh-TW" w:eastAsia="zh-CN" w:bidi="zh-TW"/>
        </w:rPr>
        <w:t>”</w:t>
      </w:r>
      <w:r>
        <w:rPr>
          <w:rFonts w:ascii="宋体" w:hAnsi="宋体"/>
          <w:color w:val="auto"/>
          <w:sz w:val="18"/>
          <w:lang w:val="zh-TW" w:eastAsia="zh-TW" w:bidi="zh-TW"/>
        </w:rPr>
        <w:t>学生的学习情况进行学期考核，教学科研处公布考核结果，由各教学单位通知学生本人。学校根据考核结果对强化班实行末位淘汰与选拔补充。</w:t>
      </w:r>
    </w:p>
    <w:p>
      <w:pPr>
        <w:tabs>
          <w:tab w:val="left" w:pos="1071"/>
        </w:tabs>
        <w:spacing w:line="278" w:lineRule="exact"/>
        <w:ind w:firstLine="420"/>
        <w:jc w:val="both"/>
        <w:rPr>
          <w:rFonts w:ascii="宋体" w:hAnsi="宋体"/>
          <w:color w:val="auto"/>
          <w:sz w:val="18"/>
          <w:lang w:val="zh-TW" w:eastAsia="zh-TW" w:bidi="zh-TW"/>
        </w:rPr>
      </w:pPr>
      <w:r>
        <w:rPr>
          <w:rFonts w:ascii="宋体" w:hAnsi="宋体"/>
          <w:color w:val="auto"/>
          <w:sz w:val="18"/>
          <w:lang w:val="zh-TW" w:eastAsia="zh-TW" w:bidi="zh-TW"/>
        </w:rPr>
        <w:t>（六）休学者可申请保留</w:t>
      </w:r>
      <w:r>
        <w:rPr>
          <w:rFonts w:ascii="宋体" w:hAnsi="宋体"/>
          <w:color w:val="auto"/>
          <w:sz w:val="18"/>
          <w:lang w:val="zh-CN" w:eastAsia="zh-CN" w:bidi="zh-CN"/>
        </w:rPr>
        <w:t>“课</w:t>
      </w:r>
      <w:r>
        <w:rPr>
          <w:rFonts w:ascii="宋体" w:hAnsi="宋体"/>
          <w:color w:val="auto"/>
          <w:sz w:val="18"/>
          <w:lang w:val="zh-TW" w:eastAsia="zh-TW" w:bidi="zh-TW"/>
        </w:rPr>
        <w:t>程强化班</w:t>
      </w:r>
      <w:r>
        <w:rPr>
          <w:rFonts w:hint="eastAsia" w:ascii="宋体" w:hAnsi="宋体"/>
          <w:color w:val="auto"/>
          <w:sz w:val="18"/>
          <w:lang w:val="zh-TW" w:eastAsia="zh-CN" w:bidi="zh-TW"/>
        </w:rPr>
        <w:t>”</w:t>
      </w:r>
      <w:r>
        <w:rPr>
          <w:rFonts w:ascii="宋体" w:hAnsi="宋体"/>
          <w:color w:val="auto"/>
          <w:sz w:val="18"/>
          <w:lang w:val="zh-TW" w:eastAsia="zh-TW" w:bidi="zh-TW"/>
        </w:rPr>
        <w:t>学生资格。</w:t>
      </w:r>
    </w:p>
    <w:p>
      <w:pPr>
        <w:tabs>
          <w:tab w:val="left" w:pos="1071"/>
        </w:tabs>
        <w:spacing w:line="305" w:lineRule="exact"/>
        <w:ind w:left="420"/>
        <w:jc w:val="both"/>
        <w:rPr>
          <w:rFonts w:ascii="宋体" w:hAnsi="宋体" w:eastAsia="PMingLiU"/>
          <w:color w:val="auto"/>
          <w:sz w:val="18"/>
          <w:lang w:val="zh-TW" w:eastAsia="zh-TW" w:bidi="zh-TW"/>
        </w:rPr>
      </w:pPr>
      <w:r>
        <w:rPr>
          <w:rFonts w:ascii="宋体" w:hAnsi="宋体"/>
          <w:color w:val="auto"/>
          <w:sz w:val="18"/>
          <w:lang w:val="zh-TW" w:eastAsia="zh-TW" w:bidi="zh-TW"/>
        </w:rPr>
        <w:t>（七）学生可申请退出</w:t>
      </w:r>
      <w:r>
        <w:rPr>
          <w:rFonts w:ascii="宋体" w:hAnsi="宋体"/>
          <w:color w:val="auto"/>
          <w:sz w:val="18"/>
          <w:lang w:val="zh-CN" w:eastAsia="zh-CN" w:bidi="zh-CN"/>
        </w:rPr>
        <w:t>“课程</w:t>
      </w:r>
      <w:r>
        <w:rPr>
          <w:rFonts w:ascii="宋体" w:hAnsi="宋体"/>
          <w:color w:val="auto"/>
          <w:sz w:val="18"/>
          <w:lang w:val="zh-TW" w:eastAsia="zh-TW" w:bidi="zh-TW"/>
        </w:rPr>
        <w:t>强化班”。学校每学期受理一次，受理时间为开学后两周内。</w:t>
      </w:r>
    </w:p>
    <w:p>
      <w:pPr>
        <w:tabs>
          <w:tab w:val="left" w:pos="1071"/>
        </w:tabs>
        <w:spacing w:line="305" w:lineRule="exact"/>
        <w:ind w:left="420"/>
        <w:jc w:val="both"/>
        <w:rPr>
          <w:rFonts w:ascii="宋体" w:hAnsi="宋体"/>
          <w:color w:val="auto"/>
          <w:sz w:val="18"/>
          <w:lang w:val="zh-TW" w:eastAsia="zh-TW" w:bidi="zh-TW"/>
        </w:rPr>
      </w:pPr>
      <w:r>
        <w:rPr>
          <w:rFonts w:ascii="宋体" w:hAnsi="宋体"/>
          <w:b/>
          <w:bCs/>
          <w:color w:val="auto"/>
          <w:sz w:val="18"/>
          <w:lang w:val="zh-TW" w:eastAsia="zh-TW" w:bidi="zh-TW"/>
        </w:rPr>
        <w:t>第六条</w:t>
      </w:r>
      <w:r>
        <w:rPr>
          <w:rFonts w:ascii="宋体" w:hAnsi="宋体"/>
          <w:color w:val="auto"/>
          <w:sz w:val="18"/>
          <w:lang w:val="zh-TW" w:eastAsia="zh-TW" w:bidi="zh-TW"/>
        </w:rPr>
        <w:t>课程绩点记载</w:t>
      </w:r>
    </w:p>
    <w:p>
      <w:pPr>
        <w:spacing w:after="160" w:line="305" w:lineRule="exact"/>
        <w:ind w:firstLine="420"/>
        <w:jc w:val="both"/>
        <w:rPr>
          <w:rFonts w:ascii="宋体" w:hAnsi="宋体"/>
          <w:color w:val="auto"/>
          <w:sz w:val="18"/>
          <w:lang w:val="zh-TW" w:eastAsia="zh-TW" w:bidi="zh-TW"/>
        </w:rPr>
      </w:pPr>
      <w:r>
        <w:rPr>
          <w:rFonts w:ascii="宋体" w:hAnsi="宋体"/>
          <w:color w:val="auto"/>
          <w:sz w:val="18"/>
          <w:lang w:eastAsia="zh-CN"/>
        </w:rPr>
        <w:t>（</w:t>
      </w:r>
      <w:r>
        <w:rPr>
          <w:rFonts w:hint="eastAsia" w:ascii="宋体" w:hAnsi="宋体"/>
          <w:color w:val="auto"/>
          <w:sz w:val="18"/>
          <w:lang w:eastAsia="zh-CN"/>
        </w:rPr>
        <w:t>一</w:t>
      </w:r>
      <w:r>
        <w:rPr>
          <w:rFonts w:ascii="宋体" w:hAnsi="宋体"/>
          <w:color w:val="auto"/>
          <w:sz w:val="18"/>
          <w:lang w:eastAsia="zh-CN"/>
        </w:rPr>
        <w:t>）</w:t>
      </w:r>
      <w:r>
        <w:rPr>
          <w:rFonts w:ascii="宋体" w:hAnsi="宋体"/>
          <w:color w:val="auto"/>
          <w:sz w:val="18"/>
          <w:lang w:val="zh-CN" w:eastAsia="zh-CN" w:bidi="zh-CN"/>
        </w:rPr>
        <w:t>“课</w:t>
      </w:r>
      <w:r>
        <w:rPr>
          <w:rFonts w:ascii="宋体" w:hAnsi="宋体"/>
          <w:color w:val="auto"/>
          <w:sz w:val="18"/>
          <w:lang w:val="zh-TW" w:eastAsia="zh-TW" w:bidi="zh-TW"/>
        </w:rPr>
        <w:t>程强化班”专设的课程成绩和补考成绩与绩点的对应关系分别按表</w:t>
      </w:r>
      <w:r>
        <w:rPr>
          <w:color w:val="auto"/>
          <w:szCs w:val="20"/>
          <w:lang w:val="zh-TW" w:eastAsia="zh-TW" w:bidi="zh-TW"/>
        </w:rPr>
        <w:t>1</w:t>
      </w:r>
      <w:r>
        <w:rPr>
          <w:rFonts w:ascii="宋体" w:hAnsi="宋体"/>
          <w:color w:val="auto"/>
          <w:sz w:val="18"/>
          <w:lang w:val="zh-TW" w:eastAsia="zh-TW" w:bidi="zh-TW"/>
        </w:rPr>
        <w:t>、表</w:t>
      </w:r>
      <w:r>
        <w:rPr>
          <w:color w:val="auto"/>
          <w:szCs w:val="20"/>
          <w:lang w:val="zh-TW" w:eastAsia="zh-TW" w:bidi="zh-TW"/>
        </w:rPr>
        <w:t>2</w:t>
      </w:r>
      <w:r>
        <w:rPr>
          <w:rFonts w:ascii="宋体" w:hAnsi="宋体"/>
          <w:color w:val="auto"/>
          <w:sz w:val="18"/>
          <w:lang w:val="zh-TW" w:eastAsia="zh-TW" w:bidi="zh-TW"/>
        </w:rPr>
        <w:t>执行</w:t>
      </w:r>
    </w:p>
    <w:p>
      <w:pPr>
        <w:jc w:val="center"/>
        <w:rPr>
          <w:rFonts w:ascii="宋体" w:hAnsi="宋体"/>
          <w:color w:val="auto"/>
          <w:sz w:val="18"/>
          <w:lang w:val="zh-TW" w:eastAsia="zh-TW" w:bidi="zh-TW"/>
        </w:rPr>
      </w:pPr>
      <w:r>
        <w:rPr>
          <w:rFonts w:ascii="宋体" w:hAnsi="宋体"/>
          <w:color w:val="auto"/>
          <w:sz w:val="18"/>
          <w:lang w:val="zh-TW" w:eastAsia="zh-TW" w:bidi="zh-TW"/>
        </w:rPr>
        <w:t>表</w:t>
      </w:r>
      <w:r>
        <w:rPr>
          <w:color w:val="auto"/>
          <w:szCs w:val="20"/>
          <w:lang w:val="zh-TW" w:eastAsia="zh-TW" w:bidi="zh-TW"/>
        </w:rPr>
        <w:t>1</w:t>
      </w:r>
      <w:r>
        <w:rPr>
          <w:rFonts w:ascii="宋体" w:hAnsi="宋体"/>
          <w:color w:val="auto"/>
          <w:sz w:val="18"/>
          <w:lang w:val="zh-TW" w:eastAsia="zh-TW" w:bidi="zh-TW"/>
        </w:rPr>
        <w:t>专设课程的成绩与绩点对应关系</w:t>
      </w:r>
    </w:p>
    <w:tbl>
      <w:tblPr>
        <w:tblStyle w:val="6"/>
        <w:tblW w:w="0" w:type="auto"/>
        <w:jc w:val="center"/>
        <w:tblLayout w:type="fixed"/>
        <w:tblCellMar>
          <w:top w:w="0" w:type="dxa"/>
          <w:left w:w="10" w:type="dxa"/>
          <w:bottom w:w="0" w:type="dxa"/>
          <w:right w:w="10" w:type="dxa"/>
        </w:tblCellMar>
      </w:tblPr>
      <w:tblGrid>
        <w:gridCol w:w="1690"/>
        <w:gridCol w:w="1646"/>
        <w:gridCol w:w="1675"/>
        <w:gridCol w:w="902"/>
      </w:tblGrid>
      <w:tr>
        <w:tblPrEx>
          <w:tblCellMar>
            <w:top w:w="0" w:type="dxa"/>
            <w:left w:w="10" w:type="dxa"/>
            <w:bottom w:w="0" w:type="dxa"/>
            <w:right w:w="10" w:type="dxa"/>
          </w:tblCellMar>
        </w:tblPrEx>
        <w:trPr>
          <w:trHeight w:val="461"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百分制成绩</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绩点</w:t>
            </w:r>
          </w:p>
        </w:tc>
        <w:tc>
          <w:tcPr>
            <w:tcW w:w="1675"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五级分制成绩</w:t>
            </w:r>
          </w:p>
        </w:tc>
        <w:tc>
          <w:tcPr>
            <w:tcW w:w="90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绩点</w:t>
            </w:r>
          </w:p>
        </w:tc>
      </w:tr>
      <w:tr>
        <w:tblPrEx>
          <w:tblCellMar>
            <w:top w:w="0" w:type="dxa"/>
            <w:left w:w="10" w:type="dxa"/>
            <w:bottom w:w="0" w:type="dxa"/>
            <w:right w:w="10" w:type="dxa"/>
          </w:tblCellMar>
        </w:tblPrEx>
        <w:trPr>
          <w:trHeight w:val="456"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90</w:t>
            </w:r>
            <w:r>
              <w:rPr>
                <w:rFonts w:ascii="宋体" w:hAnsi="宋体"/>
                <w:color w:val="auto"/>
                <w:sz w:val="17"/>
                <w:szCs w:val="17"/>
              </w:rPr>
              <w:t>-</w:t>
            </w:r>
            <w:r>
              <w:rPr>
                <w:color w:val="auto"/>
                <w:szCs w:val="17"/>
              </w:rPr>
              <w:t>100</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5.0</w:t>
            </w:r>
            <w:r>
              <w:rPr>
                <w:rFonts w:ascii="宋体" w:hAnsi="宋体"/>
                <w:color w:val="auto"/>
                <w:sz w:val="17"/>
                <w:szCs w:val="17"/>
                <w:lang w:val="zh-TW" w:eastAsia="zh-TW" w:bidi="zh-TW"/>
              </w:rPr>
              <w:t>-</w:t>
            </w:r>
            <w:r>
              <w:rPr>
                <w:color w:val="auto"/>
                <w:szCs w:val="17"/>
                <w:lang w:val="zh-TW" w:eastAsia="zh-TW" w:bidi="zh-TW"/>
              </w:rPr>
              <w:t>6.0</w:t>
            </w:r>
          </w:p>
        </w:tc>
        <w:tc>
          <w:tcPr>
            <w:tcW w:w="1675"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优秀</w:t>
            </w:r>
          </w:p>
        </w:tc>
        <w:tc>
          <w:tcPr>
            <w:tcW w:w="90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5</w:t>
            </w:r>
          </w:p>
        </w:tc>
      </w:tr>
      <w:tr>
        <w:tblPrEx>
          <w:tblCellMar>
            <w:top w:w="0" w:type="dxa"/>
            <w:left w:w="10" w:type="dxa"/>
            <w:bottom w:w="0" w:type="dxa"/>
            <w:right w:w="10" w:type="dxa"/>
          </w:tblCellMar>
        </w:tblPrEx>
        <w:trPr>
          <w:trHeight w:val="451"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80</w:t>
            </w:r>
            <w:r>
              <w:rPr>
                <w:rFonts w:ascii="宋体" w:hAnsi="宋体"/>
                <w:color w:val="auto"/>
                <w:sz w:val="17"/>
                <w:szCs w:val="17"/>
              </w:rPr>
              <w:t>-</w:t>
            </w:r>
            <w:r>
              <w:rPr>
                <w:color w:val="auto"/>
                <w:szCs w:val="17"/>
              </w:rPr>
              <w:t>89</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4.0</w:t>
            </w:r>
            <w:r>
              <w:rPr>
                <w:rFonts w:ascii="宋体" w:hAnsi="宋体"/>
                <w:color w:val="auto"/>
                <w:sz w:val="17"/>
                <w:szCs w:val="17"/>
                <w:lang w:val="zh-TW" w:eastAsia="zh-TW" w:bidi="zh-TW"/>
              </w:rPr>
              <w:t>-</w:t>
            </w:r>
            <w:r>
              <w:rPr>
                <w:color w:val="auto"/>
                <w:szCs w:val="17"/>
                <w:lang w:val="zh-TW" w:eastAsia="zh-TW" w:bidi="zh-TW"/>
              </w:rPr>
              <w:t>4.9</w:t>
            </w:r>
          </w:p>
        </w:tc>
        <w:tc>
          <w:tcPr>
            <w:tcW w:w="1675" w:type="dxa"/>
            <w:tcBorders>
              <w:top w:val="single" w:color="auto" w:sz="4" w:space="0"/>
              <w:left w:val="single" w:color="auto" w:sz="4" w:space="0"/>
            </w:tcBorders>
            <w:shd w:val="clear" w:color="auto" w:fill="FFFFFF"/>
            <w:vAlign w:val="center"/>
          </w:tcPr>
          <w:p>
            <w:pPr>
              <w:ind w:firstLine="640"/>
              <w:jc w:val="both"/>
              <w:rPr>
                <w:rFonts w:ascii="宋体" w:hAnsi="宋体"/>
                <w:color w:val="auto"/>
                <w:sz w:val="18"/>
                <w:lang w:val="zh-TW" w:eastAsia="zh-TW" w:bidi="zh-TW"/>
              </w:rPr>
            </w:pPr>
            <w:r>
              <w:rPr>
                <w:rFonts w:ascii="宋体" w:hAnsi="宋体"/>
                <w:color w:val="auto"/>
                <w:sz w:val="18"/>
                <w:lang w:val="zh-TW" w:eastAsia="zh-TW" w:bidi="zh-TW"/>
              </w:rPr>
              <w:t>良好</w:t>
            </w:r>
          </w:p>
        </w:tc>
        <w:tc>
          <w:tcPr>
            <w:tcW w:w="90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4</w:t>
            </w:r>
          </w:p>
        </w:tc>
      </w:tr>
      <w:tr>
        <w:tblPrEx>
          <w:tblCellMar>
            <w:top w:w="0" w:type="dxa"/>
            <w:left w:w="10" w:type="dxa"/>
            <w:bottom w:w="0" w:type="dxa"/>
            <w:right w:w="10" w:type="dxa"/>
          </w:tblCellMar>
        </w:tblPrEx>
        <w:trPr>
          <w:trHeight w:val="456"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70</w:t>
            </w:r>
            <w:r>
              <w:rPr>
                <w:rFonts w:ascii="宋体" w:hAnsi="宋体"/>
                <w:color w:val="auto"/>
                <w:sz w:val="17"/>
                <w:szCs w:val="17"/>
              </w:rPr>
              <w:t>-</w:t>
            </w:r>
            <w:r>
              <w:rPr>
                <w:color w:val="auto"/>
                <w:szCs w:val="17"/>
              </w:rPr>
              <w:t>79</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3.0</w:t>
            </w:r>
            <w:r>
              <w:rPr>
                <w:rFonts w:ascii="宋体" w:hAnsi="宋体"/>
                <w:color w:val="auto"/>
                <w:sz w:val="17"/>
                <w:szCs w:val="17"/>
                <w:lang w:val="zh-TW" w:eastAsia="zh-TW" w:bidi="zh-TW"/>
              </w:rPr>
              <w:t>-</w:t>
            </w:r>
            <w:r>
              <w:rPr>
                <w:color w:val="auto"/>
                <w:szCs w:val="17"/>
                <w:lang w:val="zh-TW" w:eastAsia="zh-TW" w:bidi="zh-TW"/>
              </w:rPr>
              <w:t>3.9</w:t>
            </w:r>
          </w:p>
        </w:tc>
        <w:tc>
          <w:tcPr>
            <w:tcW w:w="1675"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中等</w:t>
            </w:r>
          </w:p>
        </w:tc>
        <w:tc>
          <w:tcPr>
            <w:tcW w:w="90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3</w:t>
            </w:r>
          </w:p>
        </w:tc>
      </w:tr>
      <w:tr>
        <w:tblPrEx>
          <w:tblCellMar>
            <w:top w:w="0" w:type="dxa"/>
            <w:left w:w="10" w:type="dxa"/>
            <w:bottom w:w="0" w:type="dxa"/>
            <w:right w:w="10" w:type="dxa"/>
          </w:tblCellMar>
        </w:tblPrEx>
        <w:trPr>
          <w:trHeight w:val="451"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60</w:t>
            </w:r>
            <w:r>
              <w:rPr>
                <w:rFonts w:ascii="宋体" w:hAnsi="宋体"/>
                <w:color w:val="auto"/>
                <w:sz w:val="17"/>
                <w:szCs w:val="17"/>
              </w:rPr>
              <w:t>-</w:t>
            </w:r>
            <w:r>
              <w:rPr>
                <w:color w:val="auto"/>
                <w:szCs w:val="17"/>
              </w:rPr>
              <w:t>69</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2.0</w:t>
            </w:r>
            <w:r>
              <w:rPr>
                <w:rFonts w:ascii="宋体" w:hAnsi="宋体"/>
                <w:color w:val="auto"/>
                <w:sz w:val="17"/>
                <w:szCs w:val="17"/>
                <w:lang w:val="zh-TW" w:eastAsia="zh-TW" w:bidi="zh-TW"/>
              </w:rPr>
              <w:t>-</w:t>
            </w:r>
            <w:r>
              <w:rPr>
                <w:color w:val="auto"/>
                <w:szCs w:val="17"/>
                <w:lang w:val="zh-TW" w:eastAsia="zh-TW" w:bidi="zh-TW"/>
              </w:rPr>
              <w:t>2.9</w:t>
            </w:r>
          </w:p>
        </w:tc>
        <w:tc>
          <w:tcPr>
            <w:tcW w:w="1675"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及格</w:t>
            </w:r>
          </w:p>
        </w:tc>
        <w:tc>
          <w:tcPr>
            <w:tcW w:w="90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2</w:t>
            </w:r>
          </w:p>
        </w:tc>
      </w:tr>
      <w:tr>
        <w:tblPrEx>
          <w:tblCellMar>
            <w:top w:w="0" w:type="dxa"/>
            <w:left w:w="10" w:type="dxa"/>
            <w:bottom w:w="0" w:type="dxa"/>
            <w:right w:w="10" w:type="dxa"/>
          </w:tblCellMar>
        </w:tblPrEx>
        <w:trPr>
          <w:trHeight w:val="466" w:hRule="exact"/>
          <w:jc w:val="center"/>
        </w:trPr>
        <w:tc>
          <w:tcPr>
            <w:tcW w:w="169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0</w:t>
            </w:r>
            <w:r>
              <w:rPr>
                <w:rFonts w:ascii="宋体" w:hAnsi="宋体"/>
                <w:color w:val="auto"/>
                <w:sz w:val="17"/>
                <w:szCs w:val="17"/>
              </w:rPr>
              <w:t>-</w:t>
            </w:r>
            <w:r>
              <w:rPr>
                <w:color w:val="auto"/>
                <w:szCs w:val="17"/>
              </w:rPr>
              <w:t>59</w:t>
            </w:r>
          </w:p>
        </w:tc>
        <w:tc>
          <w:tcPr>
            <w:tcW w:w="164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0</w:t>
            </w:r>
          </w:p>
        </w:tc>
        <w:tc>
          <w:tcPr>
            <w:tcW w:w="1675"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不及格</w:t>
            </w:r>
          </w:p>
        </w:tc>
        <w:tc>
          <w:tcPr>
            <w:tcW w:w="9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0</w:t>
            </w:r>
          </w:p>
        </w:tc>
      </w:tr>
    </w:tbl>
    <w:p>
      <w:pPr>
        <w:spacing w:after="239" w:line="1" w:lineRule="exact"/>
        <w:rPr>
          <w:color w:val="auto"/>
        </w:rPr>
      </w:pPr>
    </w:p>
    <w:p>
      <w:pPr>
        <w:jc w:val="center"/>
        <w:rPr>
          <w:rFonts w:ascii="宋体" w:hAnsi="宋体"/>
          <w:color w:val="auto"/>
          <w:sz w:val="18"/>
          <w:lang w:val="zh-TW" w:eastAsia="zh-TW" w:bidi="zh-TW"/>
        </w:rPr>
      </w:pPr>
      <w:r>
        <w:rPr>
          <w:rFonts w:ascii="宋体" w:hAnsi="宋体"/>
          <w:color w:val="auto"/>
          <w:sz w:val="18"/>
          <w:lang w:val="zh-TW" w:eastAsia="zh-TW" w:bidi="zh-TW"/>
        </w:rPr>
        <w:t>表</w:t>
      </w:r>
      <w:r>
        <w:rPr>
          <w:color w:val="auto"/>
          <w:szCs w:val="20"/>
          <w:lang w:val="zh-TW" w:eastAsia="zh-TW" w:bidi="zh-TW"/>
        </w:rPr>
        <w:t>2</w:t>
      </w:r>
      <w:r>
        <w:rPr>
          <w:rFonts w:ascii="宋体" w:hAnsi="宋体"/>
          <w:color w:val="auto"/>
          <w:sz w:val="18"/>
          <w:lang w:val="zh-TW" w:eastAsia="zh-TW" w:bidi="zh-TW"/>
        </w:rPr>
        <w:t>专设课程的补考成绩与绩点对应关系</w:t>
      </w:r>
    </w:p>
    <w:tbl>
      <w:tblPr>
        <w:tblStyle w:val="6"/>
        <w:tblW w:w="0" w:type="auto"/>
        <w:jc w:val="center"/>
        <w:tblLayout w:type="fixed"/>
        <w:tblCellMar>
          <w:top w:w="0" w:type="dxa"/>
          <w:left w:w="10" w:type="dxa"/>
          <w:bottom w:w="0" w:type="dxa"/>
          <w:right w:w="10" w:type="dxa"/>
        </w:tblCellMar>
      </w:tblPr>
      <w:tblGrid>
        <w:gridCol w:w="1690"/>
        <w:gridCol w:w="1646"/>
        <w:gridCol w:w="1675"/>
        <w:gridCol w:w="902"/>
      </w:tblGrid>
      <w:tr>
        <w:tblPrEx>
          <w:tblCellMar>
            <w:top w:w="0" w:type="dxa"/>
            <w:left w:w="10" w:type="dxa"/>
            <w:bottom w:w="0" w:type="dxa"/>
            <w:right w:w="10" w:type="dxa"/>
          </w:tblCellMar>
        </w:tblPrEx>
        <w:trPr>
          <w:trHeight w:val="466"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百分制成绩</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绩点</w:t>
            </w:r>
          </w:p>
        </w:tc>
        <w:tc>
          <w:tcPr>
            <w:tcW w:w="1675"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五级分制成绩</w:t>
            </w:r>
          </w:p>
        </w:tc>
        <w:tc>
          <w:tcPr>
            <w:tcW w:w="90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绩点</w:t>
            </w:r>
          </w:p>
        </w:tc>
      </w:tr>
      <w:tr>
        <w:tblPrEx>
          <w:tblCellMar>
            <w:top w:w="0" w:type="dxa"/>
            <w:left w:w="10" w:type="dxa"/>
            <w:bottom w:w="0" w:type="dxa"/>
            <w:right w:w="10" w:type="dxa"/>
          </w:tblCellMar>
        </w:tblPrEx>
        <w:trPr>
          <w:trHeight w:val="451"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90</w:t>
            </w:r>
            <w:r>
              <w:rPr>
                <w:rFonts w:ascii="宋体" w:hAnsi="宋体"/>
                <w:color w:val="auto"/>
                <w:sz w:val="17"/>
                <w:szCs w:val="17"/>
              </w:rPr>
              <w:t>-</w:t>
            </w:r>
            <w:r>
              <w:rPr>
                <w:color w:val="auto"/>
                <w:szCs w:val="17"/>
              </w:rPr>
              <w:t>100</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4.0</w:t>
            </w:r>
            <w:r>
              <w:rPr>
                <w:rFonts w:ascii="宋体" w:hAnsi="宋体"/>
                <w:color w:val="auto"/>
                <w:sz w:val="17"/>
                <w:szCs w:val="17"/>
                <w:lang w:val="zh-TW" w:eastAsia="zh-TW" w:bidi="zh-TW"/>
              </w:rPr>
              <w:t>-</w:t>
            </w:r>
            <w:r>
              <w:rPr>
                <w:color w:val="auto"/>
                <w:szCs w:val="17"/>
                <w:lang w:val="zh-TW" w:eastAsia="zh-TW" w:bidi="zh-TW"/>
              </w:rPr>
              <w:t>5.0</w:t>
            </w:r>
          </w:p>
        </w:tc>
        <w:tc>
          <w:tcPr>
            <w:tcW w:w="1675"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优秀</w:t>
            </w:r>
          </w:p>
        </w:tc>
        <w:tc>
          <w:tcPr>
            <w:tcW w:w="902" w:type="dxa"/>
            <w:tcBorders>
              <w:top w:val="single" w:color="auto" w:sz="4" w:space="0"/>
              <w:left w:val="single" w:color="auto" w:sz="4" w:space="0"/>
              <w:right w:val="single" w:color="auto" w:sz="4" w:space="0"/>
            </w:tcBorders>
            <w:shd w:val="clear" w:color="auto" w:fill="FFFFFF"/>
            <w:vAlign w:val="center"/>
          </w:tcPr>
          <w:p>
            <w:pPr>
              <w:ind w:firstLine="320"/>
              <w:rPr>
                <w:rFonts w:ascii="宋体" w:hAnsi="宋体"/>
                <w:color w:val="auto"/>
                <w:sz w:val="17"/>
                <w:szCs w:val="17"/>
                <w:lang w:val="zh-TW" w:eastAsia="zh-TW" w:bidi="zh-TW"/>
              </w:rPr>
            </w:pPr>
            <w:r>
              <w:rPr>
                <w:color w:val="auto"/>
                <w:szCs w:val="17"/>
              </w:rPr>
              <w:t>4.5</w:t>
            </w:r>
          </w:p>
        </w:tc>
      </w:tr>
      <w:tr>
        <w:tblPrEx>
          <w:tblCellMar>
            <w:top w:w="0" w:type="dxa"/>
            <w:left w:w="10" w:type="dxa"/>
            <w:bottom w:w="0" w:type="dxa"/>
            <w:right w:w="10" w:type="dxa"/>
          </w:tblCellMar>
        </w:tblPrEx>
        <w:trPr>
          <w:trHeight w:val="456"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80</w:t>
            </w:r>
            <w:r>
              <w:rPr>
                <w:rFonts w:ascii="宋体" w:hAnsi="宋体"/>
                <w:color w:val="auto"/>
                <w:sz w:val="17"/>
                <w:szCs w:val="17"/>
              </w:rPr>
              <w:t>-</w:t>
            </w:r>
            <w:r>
              <w:rPr>
                <w:color w:val="auto"/>
                <w:szCs w:val="17"/>
              </w:rPr>
              <w:t>89</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3.0</w:t>
            </w:r>
            <w:r>
              <w:rPr>
                <w:rFonts w:ascii="宋体" w:hAnsi="宋体"/>
                <w:color w:val="auto"/>
                <w:sz w:val="17"/>
                <w:szCs w:val="17"/>
                <w:lang w:val="zh-TW" w:eastAsia="zh-TW" w:bidi="zh-TW"/>
              </w:rPr>
              <w:t>-</w:t>
            </w:r>
            <w:r>
              <w:rPr>
                <w:color w:val="auto"/>
                <w:szCs w:val="17"/>
                <w:lang w:val="zh-TW" w:eastAsia="zh-TW" w:bidi="zh-TW"/>
              </w:rPr>
              <w:t>3.9</w:t>
            </w:r>
          </w:p>
        </w:tc>
        <w:tc>
          <w:tcPr>
            <w:tcW w:w="1675" w:type="dxa"/>
            <w:tcBorders>
              <w:top w:val="single" w:color="auto" w:sz="4" w:space="0"/>
              <w:left w:val="single" w:color="auto" w:sz="4" w:space="0"/>
            </w:tcBorders>
            <w:shd w:val="clear" w:color="auto" w:fill="FFFFFF"/>
            <w:vAlign w:val="center"/>
          </w:tcPr>
          <w:p>
            <w:pPr>
              <w:ind w:firstLine="640"/>
              <w:jc w:val="both"/>
              <w:rPr>
                <w:rFonts w:ascii="宋体" w:hAnsi="宋体"/>
                <w:color w:val="auto"/>
                <w:sz w:val="18"/>
                <w:lang w:val="zh-TW" w:eastAsia="zh-TW" w:bidi="zh-TW"/>
              </w:rPr>
            </w:pPr>
            <w:r>
              <w:rPr>
                <w:rFonts w:ascii="宋体" w:hAnsi="宋体"/>
                <w:color w:val="auto"/>
                <w:sz w:val="18"/>
                <w:lang w:val="zh-TW" w:eastAsia="zh-TW" w:bidi="zh-TW"/>
              </w:rPr>
              <w:t>良好</w:t>
            </w:r>
          </w:p>
        </w:tc>
        <w:tc>
          <w:tcPr>
            <w:tcW w:w="902" w:type="dxa"/>
            <w:tcBorders>
              <w:top w:val="single" w:color="auto" w:sz="4" w:space="0"/>
              <w:left w:val="single" w:color="auto" w:sz="4" w:space="0"/>
              <w:right w:val="single" w:color="auto" w:sz="4" w:space="0"/>
            </w:tcBorders>
            <w:shd w:val="clear" w:color="auto" w:fill="FFFFFF"/>
            <w:vAlign w:val="center"/>
          </w:tcPr>
          <w:p>
            <w:pPr>
              <w:ind w:firstLine="320"/>
              <w:rPr>
                <w:rFonts w:ascii="宋体" w:hAnsi="宋体"/>
                <w:color w:val="auto"/>
                <w:sz w:val="17"/>
                <w:szCs w:val="17"/>
                <w:lang w:val="zh-TW" w:eastAsia="zh-TW" w:bidi="zh-TW"/>
              </w:rPr>
            </w:pPr>
            <w:r>
              <w:rPr>
                <w:color w:val="auto"/>
                <w:szCs w:val="17"/>
              </w:rPr>
              <w:t>3.5</w:t>
            </w:r>
          </w:p>
        </w:tc>
      </w:tr>
      <w:tr>
        <w:tblPrEx>
          <w:tblCellMar>
            <w:top w:w="0" w:type="dxa"/>
            <w:left w:w="10" w:type="dxa"/>
            <w:bottom w:w="0" w:type="dxa"/>
            <w:right w:w="10" w:type="dxa"/>
          </w:tblCellMar>
        </w:tblPrEx>
        <w:trPr>
          <w:trHeight w:val="451"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70</w:t>
            </w:r>
            <w:r>
              <w:rPr>
                <w:rFonts w:ascii="宋体" w:hAnsi="宋体"/>
                <w:color w:val="auto"/>
                <w:sz w:val="17"/>
                <w:szCs w:val="17"/>
              </w:rPr>
              <w:t>-</w:t>
            </w:r>
            <w:r>
              <w:rPr>
                <w:color w:val="auto"/>
                <w:szCs w:val="17"/>
              </w:rPr>
              <w:t>79</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2.0</w:t>
            </w:r>
            <w:r>
              <w:rPr>
                <w:rFonts w:ascii="宋体" w:hAnsi="宋体"/>
                <w:color w:val="auto"/>
                <w:sz w:val="17"/>
                <w:szCs w:val="17"/>
                <w:lang w:val="zh-TW" w:eastAsia="zh-TW" w:bidi="zh-TW"/>
              </w:rPr>
              <w:t>-</w:t>
            </w:r>
            <w:r>
              <w:rPr>
                <w:color w:val="auto"/>
                <w:szCs w:val="17"/>
                <w:lang w:val="zh-TW" w:eastAsia="zh-TW" w:bidi="zh-TW"/>
              </w:rPr>
              <w:t>2.9</w:t>
            </w:r>
          </w:p>
        </w:tc>
        <w:tc>
          <w:tcPr>
            <w:tcW w:w="1675"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中等</w:t>
            </w:r>
          </w:p>
        </w:tc>
        <w:tc>
          <w:tcPr>
            <w:tcW w:w="902" w:type="dxa"/>
            <w:tcBorders>
              <w:top w:val="single" w:color="auto" w:sz="4" w:space="0"/>
              <w:left w:val="single" w:color="auto" w:sz="4" w:space="0"/>
              <w:right w:val="single" w:color="auto" w:sz="4" w:space="0"/>
            </w:tcBorders>
            <w:shd w:val="clear" w:color="auto" w:fill="FFFFFF"/>
            <w:vAlign w:val="center"/>
          </w:tcPr>
          <w:p>
            <w:pPr>
              <w:ind w:firstLine="320"/>
              <w:rPr>
                <w:rFonts w:ascii="宋体" w:hAnsi="宋体"/>
                <w:color w:val="auto"/>
                <w:sz w:val="17"/>
                <w:szCs w:val="17"/>
                <w:lang w:val="zh-TW" w:eastAsia="zh-TW" w:bidi="zh-TW"/>
              </w:rPr>
            </w:pPr>
            <w:r>
              <w:rPr>
                <w:color w:val="auto"/>
                <w:szCs w:val="17"/>
              </w:rPr>
              <w:t>2.5</w:t>
            </w:r>
          </w:p>
        </w:tc>
      </w:tr>
      <w:tr>
        <w:tblPrEx>
          <w:tblCellMar>
            <w:top w:w="0" w:type="dxa"/>
            <w:left w:w="10" w:type="dxa"/>
            <w:bottom w:w="0" w:type="dxa"/>
            <w:right w:w="10" w:type="dxa"/>
          </w:tblCellMar>
        </w:tblPrEx>
        <w:trPr>
          <w:trHeight w:val="456" w:hRule="exact"/>
          <w:jc w:val="center"/>
        </w:trPr>
        <w:tc>
          <w:tcPr>
            <w:tcW w:w="1690"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60</w:t>
            </w:r>
            <w:r>
              <w:rPr>
                <w:rFonts w:ascii="宋体" w:hAnsi="宋体"/>
                <w:color w:val="auto"/>
                <w:sz w:val="17"/>
                <w:szCs w:val="17"/>
              </w:rPr>
              <w:t>-</w:t>
            </w:r>
            <w:r>
              <w:rPr>
                <w:color w:val="auto"/>
                <w:szCs w:val="17"/>
              </w:rPr>
              <w:t>69</w:t>
            </w:r>
          </w:p>
        </w:tc>
        <w:tc>
          <w:tcPr>
            <w:tcW w:w="1646" w:type="dxa"/>
            <w:tcBorders>
              <w:top w:val="single" w:color="auto" w:sz="4" w:space="0"/>
              <w:lef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1.0</w:t>
            </w:r>
            <w:r>
              <w:rPr>
                <w:rFonts w:ascii="宋体" w:hAnsi="宋体"/>
                <w:color w:val="auto"/>
                <w:sz w:val="17"/>
                <w:szCs w:val="17"/>
              </w:rPr>
              <w:t>-</w:t>
            </w:r>
            <w:r>
              <w:rPr>
                <w:color w:val="auto"/>
                <w:szCs w:val="17"/>
              </w:rPr>
              <w:t>1.9</w:t>
            </w:r>
          </w:p>
        </w:tc>
        <w:tc>
          <w:tcPr>
            <w:tcW w:w="1675" w:type="dxa"/>
            <w:tcBorders>
              <w:top w:val="single" w:color="auto" w:sz="4" w:space="0"/>
              <w:left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及格</w:t>
            </w:r>
          </w:p>
        </w:tc>
        <w:tc>
          <w:tcPr>
            <w:tcW w:w="902" w:type="dxa"/>
            <w:tcBorders>
              <w:top w:val="single" w:color="auto" w:sz="4" w:space="0"/>
              <w:left w:val="single" w:color="auto" w:sz="4" w:space="0"/>
              <w:right w:val="single" w:color="auto" w:sz="4" w:space="0"/>
            </w:tcBorders>
            <w:shd w:val="clear" w:color="auto" w:fill="FFFFFF"/>
            <w:vAlign w:val="center"/>
          </w:tcPr>
          <w:p>
            <w:pPr>
              <w:ind w:firstLine="320"/>
              <w:rPr>
                <w:rFonts w:ascii="宋体" w:hAnsi="宋体"/>
                <w:color w:val="auto"/>
                <w:sz w:val="17"/>
                <w:szCs w:val="17"/>
                <w:lang w:val="zh-TW" w:eastAsia="zh-TW" w:bidi="zh-TW"/>
              </w:rPr>
            </w:pPr>
            <w:r>
              <w:rPr>
                <w:color w:val="auto"/>
                <w:szCs w:val="17"/>
              </w:rPr>
              <w:t>1.5</w:t>
            </w:r>
          </w:p>
        </w:tc>
      </w:tr>
      <w:tr>
        <w:tblPrEx>
          <w:tblCellMar>
            <w:top w:w="0" w:type="dxa"/>
            <w:left w:w="10" w:type="dxa"/>
            <w:bottom w:w="0" w:type="dxa"/>
            <w:right w:w="10" w:type="dxa"/>
          </w:tblCellMar>
        </w:tblPrEx>
        <w:trPr>
          <w:trHeight w:val="461" w:hRule="exact"/>
          <w:jc w:val="center"/>
        </w:trPr>
        <w:tc>
          <w:tcPr>
            <w:tcW w:w="169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rPr>
              <w:t>0</w:t>
            </w:r>
            <w:r>
              <w:rPr>
                <w:rFonts w:ascii="宋体" w:hAnsi="宋体"/>
                <w:color w:val="auto"/>
                <w:sz w:val="17"/>
                <w:szCs w:val="17"/>
              </w:rPr>
              <w:t>-</w:t>
            </w:r>
            <w:r>
              <w:rPr>
                <w:color w:val="auto"/>
                <w:szCs w:val="17"/>
              </w:rPr>
              <w:t>59</w:t>
            </w:r>
          </w:p>
        </w:tc>
        <w:tc>
          <w:tcPr>
            <w:tcW w:w="164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0</w:t>
            </w:r>
          </w:p>
        </w:tc>
        <w:tc>
          <w:tcPr>
            <w:tcW w:w="1675"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olor w:val="auto"/>
                <w:sz w:val="18"/>
                <w:lang w:val="zh-TW" w:eastAsia="zh-TW" w:bidi="zh-TW"/>
              </w:rPr>
            </w:pPr>
            <w:r>
              <w:rPr>
                <w:rFonts w:ascii="宋体" w:hAnsi="宋体"/>
                <w:color w:val="auto"/>
                <w:sz w:val="18"/>
                <w:lang w:val="zh-TW" w:eastAsia="zh-TW" w:bidi="zh-TW"/>
              </w:rPr>
              <w:t>不及格</w:t>
            </w:r>
          </w:p>
        </w:tc>
        <w:tc>
          <w:tcPr>
            <w:tcW w:w="9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auto"/>
                <w:sz w:val="17"/>
                <w:szCs w:val="17"/>
                <w:lang w:val="zh-TW" w:eastAsia="zh-TW" w:bidi="zh-TW"/>
              </w:rPr>
            </w:pPr>
            <w:r>
              <w:rPr>
                <w:color w:val="auto"/>
                <w:szCs w:val="17"/>
                <w:lang w:val="zh-TW" w:eastAsia="zh-TW" w:bidi="zh-TW"/>
              </w:rPr>
              <w:t>0</w:t>
            </w:r>
          </w:p>
        </w:tc>
      </w:tr>
    </w:tbl>
    <w:p>
      <w:pPr>
        <w:spacing w:after="79" w:line="1" w:lineRule="exact"/>
        <w:rPr>
          <w:color w:val="auto"/>
        </w:rPr>
      </w:pPr>
    </w:p>
    <w:p>
      <w:pPr>
        <w:spacing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第七条</w:t>
      </w:r>
      <w:r>
        <w:rPr>
          <w:rFonts w:ascii="宋体" w:hAnsi="宋体"/>
          <w:color w:val="auto"/>
          <w:sz w:val="18"/>
          <w:lang w:val="zh-TW" w:eastAsia="zh-TW" w:bidi="zh-TW"/>
        </w:rPr>
        <w:t>退出管理</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退出学生自退出之日起按原录取专业普通班教学计划修读，退出前所获得的学分均予以认可。</w:t>
      </w:r>
    </w:p>
    <w:p>
      <w:pPr>
        <w:spacing w:after="120"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第八条</w:t>
      </w:r>
      <w:r>
        <w:rPr>
          <w:rFonts w:ascii="宋体" w:hAnsi="宋体"/>
          <w:color w:val="auto"/>
          <w:sz w:val="18"/>
          <w:lang w:val="zh-TW" w:eastAsia="zh-TW" w:bidi="zh-TW"/>
        </w:rPr>
        <w:t>本办法从</w:t>
      </w:r>
      <w:r>
        <w:rPr>
          <w:rFonts w:hint="eastAsia" w:ascii="宋体" w:hAnsi="宋体"/>
          <w:color w:val="auto"/>
          <w:sz w:val="18"/>
          <w:lang w:val="zh-TW" w:eastAsia="zh-TW" w:bidi="zh-TW"/>
        </w:rPr>
        <w:t>颁布之日起</w:t>
      </w:r>
      <w:r>
        <w:rPr>
          <w:rFonts w:ascii="宋体" w:hAnsi="宋体"/>
          <w:color w:val="auto"/>
          <w:sz w:val="18"/>
          <w:lang w:val="zh-TW" w:eastAsia="zh-TW" w:bidi="zh-TW"/>
        </w:rPr>
        <w:t>开始执行，教学科研处负责解释。</w:t>
      </w:r>
    </w:p>
    <w:p>
      <w:pPr>
        <w:rPr>
          <w:color w:val="auto"/>
          <w:lang w:eastAsia="zh-CN"/>
        </w:rPr>
      </w:pPr>
    </w:p>
    <w:p>
      <w:pPr>
        <w:rPr>
          <w:color w:val="auto"/>
          <w:lang w:eastAsia="zh-CN"/>
        </w:rPr>
        <w:sectPr>
          <w:headerReference r:id="rId18" w:type="default"/>
          <w:footerReference r:id="rId20" w:type="default"/>
          <w:headerReference r:id="rId19" w:type="even"/>
          <w:footerReference r:id="rId21" w:type="even"/>
          <w:pgSz w:w="9800" w:h="15120"/>
          <w:pgMar w:top="1043" w:right="652" w:bottom="987" w:left="663" w:header="0" w:footer="3" w:gutter="0"/>
          <w:pgNumType w:fmt="decimal"/>
          <w:cols w:space="720" w:num="1"/>
          <w:docGrid w:linePitch="360" w:charSpace="0"/>
        </w:sectPr>
      </w:pPr>
    </w:p>
    <w:p>
      <w:pPr>
        <w:keepNext/>
        <w:keepLines/>
        <w:spacing w:after="360"/>
        <w:ind w:firstLine="1900" w:firstLineChars="500"/>
        <w:jc w:val="both"/>
        <w:outlineLvl w:val="0"/>
        <w:rPr>
          <w:rFonts w:ascii="宋体" w:hAnsi="宋体"/>
          <w:color w:val="auto"/>
          <w:sz w:val="38"/>
          <w:szCs w:val="38"/>
          <w:lang w:val="zh-TW" w:eastAsia="zh-TW" w:bidi="zh-TW"/>
        </w:rPr>
      </w:pPr>
      <w:bookmarkStart w:id="270" w:name="bookmark492"/>
      <w:bookmarkStart w:id="271" w:name="bookmark493"/>
      <w:bookmarkStart w:id="272" w:name="bookmark491"/>
      <w:r>
        <w:rPr>
          <w:rFonts w:ascii="宋体" w:hAnsi="宋体"/>
          <w:color w:val="auto"/>
          <w:sz w:val="38"/>
          <w:szCs w:val="38"/>
          <w:lang w:val="zh-TW" w:eastAsia="zh-TW" w:bidi="zh-TW"/>
        </w:rPr>
        <w:t>关于体育课教学管理的规定</w:t>
      </w:r>
      <w:bookmarkEnd w:id="270"/>
      <w:bookmarkEnd w:id="271"/>
      <w:bookmarkEnd w:id="272"/>
    </w:p>
    <w:p>
      <w:pPr>
        <w:spacing w:line="299"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第一条</w:t>
      </w:r>
      <w:r>
        <w:rPr>
          <w:rFonts w:ascii="宋体" w:hAnsi="宋体"/>
          <w:color w:val="auto"/>
          <w:sz w:val="18"/>
          <w:lang w:val="zh-TW" w:eastAsia="zh-TW" w:bidi="zh-TW"/>
        </w:rPr>
        <w:t>体育教学包括体育选项课、体质测评课、课外体育活动三大部分，学生在校期间需遵守有关各项规定。</w:t>
      </w:r>
    </w:p>
    <w:p>
      <w:pPr>
        <w:spacing w:line="299"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第二条</w:t>
      </w:r>
      <w:r>
        <w:rPr>
          <w:rFonts w:ascii="宋体" w:hAnsi="宋体"/>
          <w:color w:val="auto"/>
          <w:sz w:val="18"/>
          <w:lang w:val="zh-TW" w:eastAsia="zh-TW" w:bidi="zh-TW"/>
        </w:rPr>
        <w:t>学生上体育课必须穿运动服、运动鞋（上理论课除外），做到不迟到、不早退、不旷课，因伤病请假须有医生证明、因事请假须有本年级辅导员签名的请假条，向任课教师办理请假手续；否则做旷课处理。</w:t>
      </w:r>
    </w:p>
    <w:p>
      <w:pPr>
        <w:spacing w:line="299"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第三条</w:t>
      </w:r>
      <w:r>
        <w:rPr>
          <w:rFonts w:ascii="宋体" w:hAnsi="宋体"/>
          <w:color w:val="auto"/>
          <w:sz w:val="18"/>
          <w:lang w:val="zh-TW" w:eastAsia="zh-TW" w:bidi="zh-TW"/>
        </w:rPr>
        <w:t>学生因伤病较长时间不能参加体育课学习者，由本人提出申请，</w:t>
      </w:r>
      <w:r>
        <w:rPr>
          <w:rFonts w:hint="eastAsia" w:ascii="宋体" w:hAnsi="宋体"/>
          <w:color w:val="auto"/>
          <w:sz w:val="18"/>
          <w:lang w:eastAsia="zh-CN" w:bidi="zh-TW"/>
        </w:rPr>
        <w:t>出具二级甲等及以上医院病例证明，经体育教研室批准，参加康复保健课的学习。</w:t>
      </w:r>
    </w:p>
    <w:p>
      <w:pPr>
        <w:spacing w:line="299"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第四条</w:t>
      </w:r>
      <w:r>
        <w:rPr>
          <w:rFonts w:ascii="宋体" w:hAnsi="宋体"/>
          <w:color w:val="auto"/>
          <w:sz w:val="18"/>
          <w:lang w:val="zh-TW" w:eastAsia="zh-TW" w:bidi="zh-TW"/>
        </w:rPr>
        <w:t>学生必须参加体育课规定的全部项目的考核，方可评定成绩。因身体原因不宜参加某项考核时，需持医院证明，任课教师提出意见，</w:t>
      </w:r>
      <w:r>
        <w:rPr>
          <w:rFonts w:hint="eastAsia" w:ascii="宋体" w:hAnsi="宋体"/>
          <w:color w:val="auto"/>
          <w:sz w:val="18"/>
          <w:lang w:val="zh-TW" w:eastAsia="zh-TW" w:bidi="zh-TW"/>
        </w:rPr>
        <w:t>报体育教研室批准</w:t>
      </w:r>
      <w:r>
        <w:rPr>
          <w:rFonts w:ascii="宋体" w:hAnsi="宋体"/>
          <w:color w:val="auto"/>
          <w:sz w:val="18"/>
          <w:lang w:val="zh-TW" w:eastAsia="zh-TW" w:bidi="zh-TW"/>
        </w:rPr>
        <w:t>，可延期或更换考试项目。</w:t>
      </w:r>
    </w:p>
    <w:p>
      <w:pPr>
        <w:spacing w:line="299"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第五条</w:t>
      </w:r>
      <w:r>
        <w:rPr>
          <w:rFonts w:ascii="宋体" w:hAnsi="宋体"/>
          <w:color w:val="auto"/>
          <w:sz w:val="18"/>
          <w:lang w:val="zh-TW" w:eastAsia="zh-TW" w:bidi="zh-TW"/>
        </w:rPr>
        <w:t>凡一学期缺课</w:t>
      </w:r>
      <w:r>
        <w:rPr>
          <w:rFonts w:ascii="宋体" w:hAnsi="宋体"/>
          <w:i/>
          <w:iCs/>
          <w:color w:val="auto"/>
          <w:sz w:val="18"/>
          <w:lang w:val="zh-TW" w:eastAsia="zh-TW" w:bidi="zh-TW"/>
        </w:rPr>
        <w:t>（</w:t>
      </w:r>
      <w:r>
        <w:rPr>
          <w:rFonts w:ascii="宋体" w:hAnsi="宋体"/>
          <w:color w:val="auto"/>
          <w:sz w:val="18"/>
          <w:lang w:val="zh-TW" w:eastAsia="zh-TW" w:bidi="zh-TW"/>
        </w:rPr>
        <w:t>不论何种原因）达到本学期体育课时数四分之一者或旷课达到三次及以上者，一律不予评定成绩，必须重修。</w:t>
      </w:r>
    </w:p>
    <w:p>
      <w:pPr>
        <w:spacing w:line="299"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第六条</w:t>
      </w:r>
      <w:r>
        <w:rPr>
          <w:rFonts w:hint="eastAsia" w:ascii="宋体" w:hAnsi="宋体"/>
          <w:color w:val="auto"/>
          <w:sz w:val="18"/>
          <w:lang w:eastAsia="zh-CN" w:bidi="zh-TW"/>
        </w:rPr>
        <w:t>大学体育课程和体制测定课程采用百分制计分</w:t>
      </w:r>
      <w:r>
        <w:rPr>
          <w:rFonts w:ascii="宋体" w:hAnsi="宋体"/>
          <w:color w:val="auto"/>
          <w:sz w:val="18"/>
          <w:lang w:val="zh-TW" w:eastAsia="zh-TW" w:bidi="zh-TW"/>
        </w:rPr>
        <w:t>。</w:t>
      </w:r>
    </w:p>
    <w:p>
      <w:pPr>
        <w:spacing w:line="299"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第七条</w:t>
      </w:r>
      <w:r>
        <w:rPr>
          <w:rFonts w:ascii="宋体" w:hAnsi="宋体"/>
          <w:color w:val="auto"/>
          <w:sz w:val="18"/>
          <w:lang w:val="zh-TW" w:eastAsia="zh-TW" w:bidi="zh-TW"/>
        </w:rPr>
        <w:t>学生有旷课等情况，在其体育课总成绩中扣分如下</w:t>
      </w:r>
      <w:r>
        <w:rPr>
          <w:rFonts w:hint="eastAsia" w:ascii="宋体" w:hAnsi="宋体"/>
          <w:color w:val="auto"/>
          <w:sz w:val="18"/>
          <w:lang w:val="zh-TW" w:eastAsia="zh-TW" w:bidi="zh-TW"/>
        </w:rPr>
        <w:t>：</w:t>
      </w:r>
      <w:r>
        <w:rPr>
          <w:rFonts w:ascii="宋体" w:hAnsi="宋体"/>
          <w:color w:val="auto"/>
          <w:sz w:val="18"/>
          <w:lang w:val="zh-TW" w:eastAsia="zh-TW" w:bidi="zh-TW"/>
        </w:rPr>
        <w:t>旷课一次扣</w:t>
      </w:r>
      <w:r>
        <w:rPr>
          <w:color w:val="auto"/>
          <w:szCs w:val="20"/>
          <w:lang w:val="zh-TW" w:eastAsia="zh-TW" w:bidi="zh-TW"/>
        </w:rPr>
        <w:t>3</w:t>
      </w:r>
      <w:r>
        <w:rPr>
          <w:rFonts w:ascii="宋体" w:hAnsi="宋体"/>
          <w:color w:val="auto"/>
          <w:sz w:val="18"/>
          <w:lang w:val="zh-TW" w:eastAsia="zh-TW" w:bidi="zh-TW"/>
        </w:rPr>
        <w:t>分（迟到、早退超过</w:t>
      </w:r>
      <w:r>
        <w:rPr>
          <w:color w:val="auto"/>
          <w:szCs w:val="20"/>
          <w:lang w:val="zh-TW" w:eastAsia="zh-TW" w:bidi="zh-TW"/>
        </w:rPr>
        <w:t>20</w:t>
      </w:r>
      <w:r>
        <w:rPr>
          <w:rFonts w:ascii="宋体" w:hAnsi="宋体"/>
          <w:color w:val="auto"/>
          <w:sz w:val="18"/>
          <w:lang w:val="zh-TW" w:eastAsia="zh-TW" w:bidi="zh-TW"/>
        </w:rPr>
        <w:t>分钟为旷课）</w:t>
      </w:r>
      <w:r>
        <w:rPr>
          <w:rFonts w:hint="eastAsia" w:ascii="宋体" w:hAnsi="宋体"/>
          <w:color w:val="auto"/>
          <w:sz w:val="18"/>
          <w:lang w:val="zh-TW" w:eastAsia="zh-TW" w:bidi="zh-TW"/>
        </w:rPr>
        <w:t>；</w:t>
      </w:r>
      <w:r>
        <w:rPr>
          <w:rFonts w:ascii="宋体" w:hAnsi="宋体"/>
          <w:color w:val="auto"/>
          <w:sz w:val="18"/>
          <w:lang w:val="zh-TW" w:eastAsia="zh-TW" w:bidi="zh-TW"/>
        </w:rPr>
        <w:t>迟到或早退一次扣</w:t>
      </w:r>
      <w:r>
        <w:rPr>
          <w:color w:val="auto"/>
          <w:szCs w:val="20"/>
          <w:lang w:val="zh-TW" w:eastAsia="zh-TW" w:bidi="zh-TW"/>
        </w:rPr>
        <w:t>1</w:t>
      </w:r>
      <w:r>
        <w:rPr>
          <w:rFonts w:ascii="宋体" w:hAnsi="宋体"/>
          <w:color w:val="auto"/>
          <w:sz w:val="18"/>
          <w:lang w:val="zh-TW" w:eastAsia="zh-TW" w:bidi="zh-TW"/>
        </w:rPr>
        <w:t>分；学习散漫、纪律性差酌情扣</w:t>
      </w:r>
      <w:r>
        <w:rPr>
          <w:color w:val="auto"/>
          <w:szCs w:val="20"/>
          <w:lang w:eastAsia="zh-CN"/>
        </w:rPr>
        <w:t>3-5</w:t>
      </w:r>
      <w:r>
        <w:rPr>
          <w:rFonts w:ascii="宋体" w:hAnsi="宋体"/>
          <w:color w:val="auto"/>
          <w:sz w:val="18"/>
          <w:lang w:val="zh-TW" w:eastAsia="zh-TW" w:bidi="zh-TW"/>
        </w:rPr>
        <w:t>分。</w:t>
      </w:r>
    </w:p>
    <w:p>
      <w:pPr>
        <w:spacing w:line="299" w:lineRule="exact"/>
        <w:ind w:left="420" w:firstLine="20"/>
        <w:jc w:val="both"/>
        <w:rPr>
          <w:rFonts w:ascii="宋体" w:hAnsi="宋体"/>
          <w:color w:val="auto"/>
          <w:sz w:val="18"/>
          <w:lang w:val="zh-TW" w:eastAsia="zh-TW" w:bidi="zh-TW"/>
        </w:rPr>
      </w:pPr>
      <w:r>
        <w:rPr>
          <w:rFonts w:ascii="宋体" w:hAnsi="宋体"/>
          <w:b/>
          <w:bCs/>
          <w:color w:val="auto"/>
          <w:sz w:val="18"/>
          <w:lang w:val="zh-TW" w:eastAsia="zh-TW" w:bidi="zh-TW"/>
        </w:rPr>
        <w:t>第八条</w:t>
      </w:r>
      <w:r>
        <w:rPr>
          <w:rFonts w:ascii="宋体" w:hAnsi="宋体"/>
          <w:color w:val="auto"/>
          <w:sz w:val="18"/>
          <w:lang w:val="zh-TW" w:eastAsia="zh-TW" w:bidi="zh-TW"/>
        </w:rPr>
        <w:t>体育课成绩不及格者</w:t>
      </w:r>
      <w:r>
        <w:rPr>
          <w:rFonts w:hint="eastAsia" w:ascii="宋体" w:hAnsi="宋体"/>
          <w:color w:val="auto"/>
          <w:sz w:val="18"/>
          <w:lang w:val="zh-TW" w:eastAsia="zh-TW" w:bidi="zh-TW"/>
        </w:rPr>
        <w:t>，</w:t>
      </w:r>
      <w:r>
        <w:rPr>
          <w:rFonts w:ascii="宋体" w:hAnsi="宋体"/>
          <w:color w:val="auto"/>
          <w:sz w:val="18"/>
          <w:lang w:val="zh-TW" w:eastAsia="zh-TW" w:bidi="zh-TW"/>
        </w:rPr>
        <w:t>须补考</w:t>
      </w:r>
      <w:r>
        <w:rPr>
          <w:rFonts w:hint="eastAsia" w:ascii="宋体" w:hAnsi="宋体"/>
          <w:color w:val="auto"/>
          <w:sz w:val="18"/>
          <w:lang w:val="zh-TW" w:eastAsia="zh-TW" w:bidi="zh-TW"/>
        </w:rPr>
        <w:t>，</w:t>
      </w:r>
      <w:r>
        <w:rPr>
          <w:rFonts w:ascii="宋体" w:hAnsi="宋体"/>
          <w:color w:val="auto"/>
          <w:sz w:val="18"/>
          <w:lang w:val="zh-TW" w:eastAsia="zh-TW" w:bidi="zh-TW"/>
        </w:rPr>
        <w:t>具体要求参见本科生学籍管理条例</w:t>
      </w:r>
      <w:r>
        <w:rPr>
          <w:rFonts w:ascii="宋体" w:hAnsi="宋体"/>
          <w:color w:val="auto"/>
          <w:sz w:val="18"/>
          <w:lang w:val="zh-CN" w:eastAsia="zh-CN" w:bidi="zh-CN"/>
        </w:rPr>
        <w:t>“第十</w:t>
      </w:r>
      <w:r>
        <w:rPr>
          <w:rFonts w:ascii="宋体" w:hAnsi="宋体"/>
          <w:color w:val="auto"/>
          <w:sz w:val="18"/>
          <w:lang w:val="zh-TW" w:eastAsia="zh-TW" w:bidi="zh-TW"/>
        </w:rPr>
        <w:t>五条”、</w:t>
      </w:r>
      <w:r>
        <w:rPr>
          <w:rFonts w:ascii="宋体" w:hAnsi="宋体"/>
          <w:color w:val="auto"/>
          <w:sz w:val="18"/>
          <w:lang w:val="zh-CN" w:eastAsia="zh-CN" w:bidi="zh-CN"/>
        </w:rPr>
        <w:t>“第</w:t>
      </w:r>
      <w:r>
        <w:rPr>
          <w:rFonts w:ascii="宋体" w:hAnsi="宋体"/>
          <w:color w:val="auto"/>
          <w:sz w:val="18"/>
          <w:lang w:val="zh-TW" w:eastAsia="zh-TW" w:bidi="zh-TW"/>
        </w:rPr>
        <w:t>十六条”</w:t>
      </w:r>
      <w:r>
        <w:rPr>
          <w:rFonts w:hint="eastAsia" w:ascii="宋体" w:hAnsi="宋体"/>
          <w:color w:val="auto"/>
          <w:sz w:val="18"/>
          <w:lang w:val="zh-TW" w:eastAsia="zh-TW" w:bidi="zh-TW"/>
        </w:rPr>
        <w:t>、</w:t>
      </w:r>
      <w:r>
        <w:rPr>
          <w:rFonts w:ascii="宋体" w:hAnsi="宋体"/>
          <w:color w:val="auto"/>
          <w:sz w:val="18"/>
          <w:lang w:val="zh-CN" w:eastAsia="zh-CN" w:bidi="zh-CN"/>
        </w:rPr>
        <w:t>“第十</w:t>
      </w:r>
      <w:r>
        <w:rPr>
          <w:rFonts w:ascii="宋体" w:hAnsi="宋体"/>
          <w:color w:val="auto"/>
          <w:sz w:val="18"/>
          <w:lang w:val="zh-TW" w:eastAsia="zh-TW" w:bidi="zh-TW"/>
        </w:rPr>
        <w:t>七条”规定。</w:t>
      </w:r>
    </w:p>
    <w:p>
      <w:pPr>
        <w:spacing w:line="299" w:lineRule="exact"/>
        <w:ind w:firstLine="420"/>
        <w:rPr>
          <w:rFonts w:ascii="宋体" w:hAnsi="宋体"/>
          <w:color w:val="auto"/>
          <w:sz w:val="18"/>
          <w:lang w:val="zh-TW" w:eastAsia="zh-TW" w:bidi="zh-TW"/>
        </w:rPr>
      </w:pPr>
      <w:r>
        <w:rPr>
          <w:rFonts w:ascii="宋体" w:hAnsi="宋体"/>
          <w:b/>
          <w:bCs/>
          <w:color w:val="auto"/>
          <w:sz w:val="18"/>
          <w:lang w:val="zh-TW" w:eastAsia="zh-TW" w:bidi="zh-TW"/>
        </w:rPr>
        <w:t>第九条</w:t>
      </w:r>
      <w:r>
        <w:rPr>
          <w:rFonts w:ascii="宋体" w:hAnsi="宋体"/>
          <w:color w:val="auto"/>
          <w:sz w:val="18"/>
          <w:lang w:val="zh-TW" w:eastAsia="zh-TW" w:bidi="zh-TW"/>
        </w:rPr>
        <w:t>学生应积极参加课外体育俱乐部，每周应自觉进行</w:t>
      </w:r>
      <w:r>
        <w:rPr>
          <w:color w:val="auto"/>
          <w:szCs w:val="20"/>
          <w:lang w:eastAsia="zh-CN"/>
        </w:rPr>
        <w:t>2-3</w:t>
      </w:r>
      <w:r>
        <w:rPr>
          <w:rFonts w:ascii="宋体" w:hAnsi="宋体"/>
          <w:color w:val="auto"/>
          <w:sz w:val="18"/>
          <w:lang w:val="zh-TW" w:eastAsia="zh-TW" w:bidi="zh-TW"/>
        </w:rPr>
        <w:t>次课外体育活动。</w:t>
      </w:r>
    </w:p>
    <w:p>
      <w:pPr>
        <w:spacing w:line="299"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第十条</w:t>
      </w:r>
      <w:r>
        <w:rPr>
          <w:rFonts w:ascii="宋体" w:hAnsi="宋体"/>
          <w:color w:val="auto"/>
          <w:sz w:val="18"/>
          <w:lang w:val="zh-TW" w:eastAsia="zh-TW" w:bidi="zh-TW"/>
        </w:rPr>
        <w:t>学生在校期间，每年必须参加并通过《学生体质健康标准（试行方案）》的测试，测试成绩到达良好</w:t>
      </w:r>
      <w:r>
        <w:rPr>
          <w:rFonts w:ascii="宋体" w:hAnsi="宋体"/>
          <w:color w:val="auto"/>
          <w:sz w:val="18"/>
          <w:szCs w:val="20"/>
          <w:lang w:val="zh-TW" w:eastAsia="zh-TW" w:bidi="zh-TW"/>
        </w:rPr>
        <w:t>（</w:t>
      </w:r>
      <w:r>
        <w:rPr>
          <w:color w:val="auto"/>
          <w:szCs w:val="20"/>
          <w:lang w:val="zh-TW" w:eastAsia="zh-TW" w:bidi="zh-TW"/>
        </w:rPr>
        <w:t>80</w:t>
      </w:r>
      <w:r>
        <w:rPr>
          <w:rFonts w:ascii="宋体" w:hAnsi="宋体"/>
          <w:color w:val="auto"/>
          <w:sz w:val="18"/>
          <w:lang w:val="zh-TW" w:eastAsia="zh-TW" w:bidi="zh-TW"/>
        </w:rPr>
        <w:t>分）以上者，方可评为三好学生、获奖学金；不及格者，按肆业处理。</w:t>
      </w:r>
    </w:p>
    <w:p>
      <w:pPr>
        <w:spacing w:line="299"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第十一条</w:t>
      </w:r>
      <w:r>
        <w:rPr>
          <w:rFonts w:ascii="宋体" w:hAnsi="宋体"/>
          <w:color w:val="auto"/>
          <w:sz w:val="18"/>
          <w:lang w:val="zh-TW" w:eastAsia="zh-TW" w:bidi="zh-TW"/>
        </w:rPr>
        <w:t>本规定由基础教学部负责解释。</w:t>
      </w:r>
    </w:p>
    <w:p>
      <w:pPr>
        <w:spacing w:line="299" w:lineRule="exact"/>
        <w:jc w:val="both"/>
        <w:rPr>
          <w:rFonts w:ascii="宋体" w:hAnsi="宋体"/>
          <w:color w:val="auto"/>
          <w:sz w:val="18"/>
          <w:lang w:val="zh-TW" w:eastAsia="zh-TW" w:bidi="zh-TW"/>
        </w:rPr>
      </w:pPr>
    </w:p>
    <w:p>
      <w:pPr>
        <w:spacing w:line="299" w:lineRule="exact"/>
        <w:jc w:val="both"/>
        <w:rPr>
          <w:rFonts w:ascii="宋体" w:hAnsi="宋体"/>
          <w:color w:val="auto"/>
          <w:sz w:val="18"/>
          <w:lang w:val="zh-TW" w:eastAsia="zh-TW" w:bidi="zh-TW"/>
        </w:rPr>
        <w:sectPr>
          <w:pgSz w:w="9800" w:h="15120"/>
          <w:pgMar w:top="1043" w:right="652" w:bottom="987" w:left="663" w:header="0" w:footer="3" w:gutter="0"/>
          <w:pgNumType w:fmt="decimal"/>
          <w:cols w:space="720" w:num="1"/>
          <w:docGrid w:linePitch="360" w:charSpace="0"/>
        </w:sectPr>
      </w:pPr>
    </w:p>
    <w:p>
      <w:pPr>
        <w:keepNext/>
        <w:keepLines/>
        <w:spacing w:after="360" w:line="586" w:lineRule="exact"/>
        <w:jc w:val="center"/>
        <w:outlineLvl w:val="0"/>
        <w:rPr>
          <w:rFonts w:ascii="宋体" w:hAnsi="宋体"/>
          <w:color w:val="auto"/>
          <w:sz w:val="38"/>
          <w:szCs w:val="38"/>
          <w:highlight w:val="none"/>
          <w:lang w:val="zh-TW" w:eastAsia="zh-TW" w:bidi="zh-TW"/>
        </w:rPr>
      </w:pPr>
      <w:bookmarkStart w:id="273" w:name="bookmark495"/>
      <w:bookmarkStart w:id="274" w:name="bookmark496"/>
      <w:bookmarkStart w:id="275" w:name="bookmark494"/>
      <w:bookmarkStart w:id="276" w:name="bookmark497"/>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学生军事训练教学规定</w:t>
      </w:r>
      <w:bookmarkEnd w:id="273"/>
      <w:bookmarkEnd w:id="274"/>
      <w:bookmarkEnd w:id="275"/>
    </w:p>
    <w:p>
      <w:pPr>
        <w:tabs>
          <w:tab w:val="left" w:pos="907"/>
        </w:tabs>
        <w:spacing w:line="304" w:lineRule="exact"/>
        <w:ind w:firstLine="440"/>
        <w:jc w:val="both"/>
        <w:rPr>
          <w:rFonts w:ascii="宋体" w:hAnsi="宋体"/>
          <w:color w:val="auto"/>
          <w:sz w:val="18"/>
          <w:lang w:val="zh-TW" w:eastAsia="zh-TW" w:bidi="zh-TW"/>
        </w:rPr>
      </w:pPr>
      <w:r>
        <w:rPr>
          <w:rFonts w:ascii="宋体" w:hAnsi="宋体"/>
          <w:color w:val="auto"/>
          <w:sz w:val="18"/>
          <w:lang w:val="zh-TW" w:eastAsia="zh-TW" w:bidi="zh-TW"/>
        </w:rPr>
        <w:t>一</w:t>
      </w:r>
      <w:bookmarkEnd w:id="276"/>
      <w:r>
        <w:rPr>
          <w:rFonts w:ascii="宋体" w:hAnsi="宋体"/>
          <w:color w:val="auto"/>
          <w:sz w:val="18"/>
          <w:lang w:val="zh-TW" w:eastAsia="zh-TW" w:bidi="zh-TW"/>
        </w:rPr>
        <w:t>、根据中华人民共和国《兵役法》关于</w:t>
      </w:r>
      <w:r>
        <w:rPr>
          <w:rFonts w:ascii="宋体" w:hAnsi="宋体"/>
          <w:color w:val="auto"/>
          <w:sz w:val="18"/>
          <w:lang w:val="zh-CN" w:eastAsia="zh-CN" w:bidi="zh-CN"/>
        </w:rPr>
        <w:t>“高</w:t>
      </w:r>
      <w:r>
        <w:rPr>
          <w:rFonts w:ascii="宋体" w:hAnsi="宋体"/>
          <w:color w:val="auto"/>
          <w:sz w:val="18"/>
          <w:lang w:val="zh-TW" w:eastAsia="zh-TW" w:bidi="zh-TW"/>
        </w:rPr>
        <w:t>等院校的学生在就学期间，必须接受基本军事训练”的规定和教育部、总参谋部、总政治部《关于在普通高等学校开展学生军事训练工作的意见》要求，军事技能训练（集中军训）和军事理论课作为我校大学生的必修课，未经批准不得免修，学生军训期间的表现和考核成绩记入学生档案。</w:t>
      </w:r>
    </w:p>
    <w:p>
      <w:pPr>
        <w:tabs>
          <w:tab w:val="left" w:pos="920"/>
        </w:tabs>
        <w:spacing w:line="304" w:lineRule="exact"/>
        <w:ind w:firstLine="440"/>
        <w:jc w:val="both"/>
        <w:rPr>
          <w:rFonts w:ascii="宋体" w:hAnsi="宋体"/>
          <w:color w:val="auto"/>
          <w:sz w:val="18"/>
          <w:lang w:val="zh-TW" w:eastAsia="zh-TW" w:bidi="zh-TW"/>
        </w:rPr>
      </w:pPr>
      <w:bookmarkStart w:id="277" w:name="bookmark498"/>
      <w:r>
        <w:rPr>
          <w:rFonts w:ascii="宋体" w:hAnsi="宋体"/>
          <w:color w:val="auto"/>
          <w:sz w:val="18"/>
          <w:lang w:val="zh-TW" w:eastAsia="zh-TW" w:bidi="zh-TW"/>
        </w:rPr>
        <w:t>二</w:t>
      </w:r>
      <w:bookmarkEnd w:id="277"/>
      <w:r>
        <w:rPr>
          <w:rFonts w:ascii="宋体" w:hAnsi="宋体"/>
          <w:color w:val="auto"/>
          <w:sz w:val="18"/>
          <w:lang w:val="zh-TW" w:eastAsia="zh-TW" w:bidi="zh-TW"/>
        </w:rPr>
        <w:t>、凡未通过军事技能训练、军事理论课考核或未办理免修手续者不得毕业。</w:t>
      </w:r>
    </w:p>
    <w:p>
      <w:pPr>
        <w:tabs>
          <w:tab w:val="left" w:pos="912"/>
        </w:tabs>
        <w:spacing w:line="306" w:lineRule="exact"/>
        <w:ind w:firstLine="440"/>
        <w:jc w:val="both"/>
        <w:rPr>
          <w:rFonts w:ascii="宋体" w:hAnsi="宋体"/>
          <w:color w:val="auto"/>
          <w:sz w:val="18"/>
          <w:lang w:val="zh-TW" w:eastAsia="zh-TW" w:bidi="zh-TW"/>
        </w:rPr>
      </w:pPr>
      <w:bookmarkStart w:id="278" w:name="bookmark499"/>
      <w:r>
        <w:rPr>
          <w:rFonts w:ascii="宋体" w:hAnsi="宋体"/>
          <w:color w:val="auto"/>
          <w:sz w:val="18"/>
          <w:lang w:val="zh-TW" w:eastAsia="zh-TW" w:bidi="zh-TW"/>
        </w:rPr>
        <w:t>三</w:t>
      </w:r>
      <w:bookmarkEnd w:id="278"/>
      <w:r>
        <w:rPr>
          <w:rFonts w:ascii="宋体" w:hAnsi="宋体"/>
          <w:color w:val="auto"/>
          <w:sz w:val="18"/>
          <w:lang w:val="zh-TW" w:eastAsia="zh-TW" w:bidi="zh-TW"/>
        </w:rPr>
        <w:t>、集中军训实行准军事化管理，原则上不得请假。确因新生体检需复查而暂时不能参加者，由校医院出具证明方可缓训；病事假缺课三分之一以上者，军训考核按无成绩处理。因病或身体方面特殊原因不能参加者，必须由学生本人提出申请，并持校医院证明，经所在学院签署意见后报教学科研处审核后方可免修或缓训。</w:t>
      </w:r>
    </w:p>
    <w:p>
      <w:pPr>
        <w:tabs>
          <w:tab w:val="left" w:pos="920"/>
        </w:tabs>
        <w:spacing w:line="307" w:lineRule="exact"/>
        <w:ind w:firstLine="440"/>
        <w:jc w:val="both"/>
        <w:rPr>
          <w:rFonts w:ascii="宋体" w:hAnsi="宋体"/>
          <w:color w:val="auto"/>
          <w:sz w:val="18"/>
          <w:lang w:val="zh-TW" w:eastAsia="zh-TW" w:bidi="zh-TW"/>
        </w:rPr>
      </w:pPr>
      <w:bookmarkStart w:id="279" w:name="bookmark500"/>
      <w:r>
        <w:rPr>
          <w:rFonts w:ascii="宋体" w:hAnsi="宋体"/>
          <w:color w:val="auto"/>
          <w:sz w:val="18"/>
          <w:lang w:val="zh-TW" w:eastAsia="zh-TW" w:bidi="zh-TW"/>
        </w:rPr>
        <w:t>四</w:t>
      </w:r>
      <w:bookmarkEnd w:id="279"/>
      <w:r>
        <w:rPr>
          <w:rFonts w:ascii="宋体" w:hAnsi="宋体"/>
          <w:color w:val="auto"/>
          <w:sz w:val="18"/>
          <w:lang w:val="zh-TW" w:eastAsia="zh-TW" w:bidi="zh-TW"/>
        </w:rPr>
        <w:t>、军训考核办法</w:t>
      </w:r>
      <w:r>
        <w:rPr>
          <w:rFonts w:hint="eastAsia" w:ascii="宋体" w:hAnsi="宋体"/>
          <w:color w:val="auto"/>
          <w:sz w:val="18"/>
          <w:lang w:val="zh-TW" w:eastAsia="zh-TW" w:bidi="zh-TW"/>
        </w:rPr>
        <w:t>：</w:t>
      </w:r>
    </w:p>
    <w:p>
      <w:pPr>
        <w:tabs>
          <w:tab w:val="left" w:pos="758"/>
        </w:tabs>
        <w:spacing w:line="307" w:lineRule="exact"/>
        <w:ind w:firstLine="200" w:firstLineChars="100"/>
        <w:jc w:val="both"/>
        <w:rPr>
          <w:rFonts w:ascii="宋体" w:hAnsi="宋体"/>
          <w:color w:val="auto"/>
          <w:szCs w:val="20"/>
          <w:lang w:val="zh-TW" w:eastAsia="zh-TW" w:bidi="zh-TW"/>
        </w:rPr>
      </w:pPr>
      <w:bookmarkStart w:id="280" w:name="bookmark501"/>
      <w:bookmarkEnd w:id="280"/>
      <w:r>
        <w:rPr>
          <w:rFonts w:hint="eastAsia"/>
          <w:color w:val="auto"/>
          <w:lang w:eastAsia="zh-CN" w:bidi="zh-TW"/>
        </w:rPr>
        <w:t>1.</w:t>
      </w:r>
      <w:r>
        <w:rPr>
          <w:rFonts w:ascii="宋体" w:hAnsi="宋体"/>
          <w:color w:val="auto"/>
          <w:sz w:val="18"/>
          <w:lang w:val="zh-TW" w:eastAsia="zh-TW" w:bidi="zh-TW"/>
        </w:rPr>
        <w:t>集中军训考核按考勤、完成训练科目和平时表现综合评定，有下列情况之一者为不合格</w:t>
      </w:r>
      <w:r>
        <w:rPr>
          <w:rFonts w:hint="eastAsia" w:ascii="宋体" w:hAnsi="宋体"/>
          <w:color w:val="auto"/>
          <w:sz w:val="18"/>
          <w:lang w:val="zh-TW" w:eastAsia="zh-TW" w:bidi="zh-TW"/>
        </w:rPr>
        <w:t>：</w:t>
      </w:r>
    </w:p>
    <w:p>
      <w:pPr>
        <w:tabs>
          <w:tab w:val="left" w:pos="758"/>
        </w:tabs>
        <w:spacing w:line="307" w:lineRule="exact"/>
        <w:ind w:firstLine="180" w:firstLineChars="10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严重违反军训规定、旷课、与教官顶撞、打架闹事者；</w:t>
      </w:r>
    </w:p>
    <w:p>
      <w:pPr>
        <w:tabs>
          <w:tab w:val="left" w:pos="758"/>
        </w:tabs>
        <w:spacing w:line="307" w:lineRule="exact"/>
        <w:ind w:firstLine="180" w:firstLineChars="10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2</w:t>
      </w:r>
      <w:r>
        <w:rPr>
          <w:rFonts w:ascii="宋体" w:hAnsi="宋体"/>
          <w:color w:val="auto"/>
          <w:sz w:val="18"/>
          <w:szCs w:val="20"/>
          <w:lang w:val="zh-TW" w:eastAsia="zh-TW" w:bidi="zh-TW"/>
        </w:rPr>
        <w:t>）</w:t>
      </w:r>
      <w:r>
        <w:rPr>
          <w:rFonts w:ascii="宋体" w:hAnsi="宋体"/>
          <w:color w:val="auto"/>
          <w:sz w:val="18"/>
          <w:lang w:val="zh-TW" w:eastAsia="zh-TW" w:bidi="zh-TW"/>
        </w:rPr>
        <w:t>未经批准擅自离队，超假、逾假不归者；</w:t>
      </w:r>
    </w:p>
    <w:p>
      <w:pPr>
        <w:tabs>
          <w:tab w:val="left" w:pos="758"/>
        </w:tabs>
        <w:spacing w:line="307" w:lineRule="exact"/>
        <w:ind w:firstLine="180" w:firstLineChars="100"/>
        <w:jc w:val="both"/>
        <w:rPr>
          <w:rFonts w:ascii="宋体" w:hAnsi="宋体"/>
          <w:color w:val="auto"/>
          <w:sz w:val="18"/>
          <w:lang w:val="zh-TW" w:eastAsia="zh-TW" w:bidi="zh-TW"/>
        </w:rPr>
      </w:pPr>
      <w:r>
        <w:rPr>
          <w:rFonts w:ascii="宋体" w:hAnsi="宋体"/>
          <w:color w:val="auto"/>
          <w:sz w:val="18"/>
          <w:lang w:val="zh-TW" w:eastAsia="zh-TW" w:bidi="zh-TW"/>
        </w:rPr>
        <w:t>（</w:t>
      </w:r>
      <w:r>
        <w:rPr>
          <w:color w:val="auto"/>
          <w:szCs w:val="20"/>
          <w:lang w:val="zh-TW" w:eastAsia="zh-TW" w:bidi="zh-TW"/>
        </w:rPr>
        <w:t>3</w:t>
      </w:r>
      <w:r>
        <w:rPr>
          <w:rFonts w:ascii="宋体" w:hAnsi="宋体"/>
          <w:color w:val="auto"/>
          <w:sz w:val="18"/>
          <w:lang w:val="zh-TW" w:eastAsia="zh-TW" w:bidi="zh-TW"/>
        </w:rPr>
        <w:t>）未办缓修手续擅自不参加者。</w:t>
      </w:r>
    </w:p>
    <w:p>
      <w:pPr>
        <w:tabs>
          <w:tab w:val="left" w:pos="758"/>
        </w:tabs>
        <w:spacing w:line="307" w:lineRule="exact"/>
        <w:ind w:firstLine="200" w:firstLineChars="100"/>
        <w:jc w:val="both"/>
        <w:rPr>
          <w:rFonts w:ascii="宋体" w:hAnsi="宋体"/>
          <w:color w:val="auto"/>
          <w:sz w:val="18"/>
          <w:lang w:val="zh-TW" w:eastAsia="zh-TW" w:bidi="zh-TW"/>
        </w:rPr>
      </w:pPr>
      <w:bookmarkStart w:id="281" w:name="bookmark502"/>
      <w:bookmarkEnd w:id="281"/>
      <w:r>
        <w:rPr>
          <w:rFonts w:hint="eastAsia"/>
          <w:color w:val="auto"/>
          <w:lang w:eastAsia="zh-CN" w:bidi="zh-TW"/>
        </w:rPr>
        <w:t>2.</w:t>
      </w:r>
      <w:r>
        <w:rPr>
          <w:rFonts w:ascii="宋体" w:hAnsi="宋体"/>
          <w:color w:val="auto"/>
          <w:sz w:val="18"/>
          <w:lang w:val="zh-TW" w:eastAsia="zh-TW" w:bidi="zh-TW"/>
        </w:rPr>
        <w:t>军事理论课考核成绩按平时考评、考勤和考试成绩综合评定。严重违反课堂纪律、迟到或早退两次、旷课一次，试卷成绩必须在</w:t>
      </w:r>
      <w:r>
        <w:rPr>
          <w:color w:val="auto"/>
          <w:szCs w:val="20"/>
          <w:lang w:val="zh-TW" w:eastAsia="zh-TW" w:bidi="zh-TW"/>
        </w:rPr>
        <w:t>60</w:t>
      </w:r>
      <w:r>
        <w:rPr>
          <w:rFonts w:ascii="宋体" w:hAnsi="宋体"/>
          <w:color w:val="auto"/>
          <w:sz w:val="18"/>
          <w:lang w:val="zh-TW" w:eastAsia="zh-TW" w:bidi="zh-TW"/>
        </w:rPr>
        <w:t>分以上方能通过；迟到、早退三次以上、旷课两次取消考试资格，按重修处理。</w:t>
      </w:r>
    </w:p>
    <w:p>
      <w:pPr>
        <w:tabs>
          <w:tab w:val="left" w:pos="920"/>
        </w:tabs>
        <w:spacing w:line="306" w:lineRule="exact"/>
        <w:ind w:firstLine="440"/>
        <w:jc w:val="both"/>
        <w:rPr>
          <w:rFonts w:ascii="宋体" w:hAnsi="宋体"/>
          <w:color w:val="auto"/>
          <w:sz w:val="18"/>
          <w:lang w:val="zh-TW" w:eastAsia="zh-TW" w:bidi="zh-TW"/>
        </w:rPr>
      </w:pPr>
      <w:bookmarkStart w:id="282" w:name="bookmark503"/>
      <w:r>
        <w:rPr>
          <w:rFonts w:ascii="宋体" w:hAnsi="宋体"/>
          <w:color w:val="auto"/>
          <w:sz w:val="18"/>
          <w:lang w:val="zh-TW" w:eastAsia="zh-TW" w:bidi="zh-TW"/>
        </w:rPr>
        <w:t>五</w:t>
      </w:r>
      <w:bookmarkEnd w:id="282"/>
      <w:r>
        <w:rPr>
          <w:rFonts w:ascii="宋体" w:hAnsi="宋体"/>
          <w:color w:val="auto"/>
          <w:sz w:val="18"/>
          <w:lang w:val="zh-TW" w:eastAsia="zh-TW" w:bidi="zh-TW"/>
        </w:rPr>
        <w:t>、集中军训期间凡违纪者，将按《违纪处分条例》进行处理。</w:t>
      </w:r>
    </w:p>
    <w:p>
      <w:pPr>
        <w:tabs>
          <w:tab w:val="left" w:pos="920"/>
        </w:tabs>
        <w:spacing w:line="306" w:lineRule="exact"/>
        <w:ind w:firstLine="440"/>
        <w:jc w:val="both"/>
        <w:rPr>
          <w:rFonts w:ascii="宋体" w:hAnsi="宋体"/>
          <w:color w:val="auto"/>
          <w:sz w:val="18"/>
          <w:lang w:val="zh-TW" w:eastAsia="zh-TW" w:bidi="zh-TW"/>
        </w:rPr>
      </w:pPr>
      <w:bookmarkStart w:id="283" w:name="bookmark504"/>
      <w:r>
        <w:rPr>
          <w:rFonts w:ascii="宋体" w:hAnsi="宋体"/>
          <w:color w:val="auto"/>
          <w:sz w:val="18"/>
          <w:lang w:val="zh-TW" w:eastAsia="zh-TW" w:bidi="zh-TW"/>
        </w:rPr>
        <w:t>六</w:t>
      </w:r>
      <w:bookmarkEnd w:id="283"/>
      <w:r>
        <w:rPr>
          <w:rFonts w:ascii="宋体" w:hAnsi="宋体"/>
          <w:color w:val="auto"/>
          <w:sz w:val="18"/>
          <w:lang w:val="zh-TW" w:eastAsia="zh-TW" w:bidi="zh-TW"/>
        </w:rPr>
        <w:t>、本规定的解释权属学生工作处、教学科研处。</w:t>
      </w: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ind w:firstLine="440"/>
        <w:jc w:val="both"/>
        <w:rPr>
          <w:rFonts w:ascii="宋体" w:hAnsi="宋体"/>
          <w:color w:val="auto"/>
          <w:sz w:val="18"/>
          <w:lang w:val="zh-TW" w:eastAsia="zh-TW" w:bidi="zh-TW"/>
        </w:rPr>
      </w:pPr>
    </w:p>
    <w:p>
      <w:pPr>
        <w:tabs>
          <w:tab w:val="left" w:pos="920"/>
        </w:tabs>
        <w:spacing w:line="306" w:lineRule="exact"/>
        <w:jc w:val="both"/>
        <w:rPr>
          <w:rFonts w:ascii="宋体" w:hAnsi="宋体"/>
          <w:color w:val="auto"/>
          <w:sz w:val="18"/>
          <w:lang w:val="zh-TW" w:eastAsia="zh-TW" w:bidi="zh-TW"/>
        </w:rPr>
      </w:pPr>
    </w:p>
    <w:p>
      <w:pPr>
        <w:tabs>
          <w:tab w:val="left" w:pos="920"/>
        </w:tabs>
        <w:spacing w:line="595" w:lineRule="exact"/>
        <w:jc w:val="center"/>
        <w:rPr>
          <w:rFonts w:ascii="宋体" w:hAnsi="宋体"/>
          <w:color w:val="auto"/>
          <w:sz w:val="18"/>
          <w:lang w:val="zh-TW" w:eastAsia="zh-TW" w:bidi="zh-TW"/>
        </w:rPr>
      </w:pPr>
      <w:r>
        <w:rPr>
          <w:rFonts w:ascii="宋体" w:hAnsi="宋体"/>
          <w:color w:val="auto"/>
          <w:sz w:val="38"/>
          <w:szCs w:val="38"/>
          <w:lang w:val="zh-TW" w:eastAsia="zh-TW" w:bidi="zh-TW"/>
        </w:rPr>
        <w:t>南京航空航天大学金城学院</w:t>
      </w:r>
    </w:p>
    <w:p>
      <w:pPr>
        <w:tabs>
          <w:tab w:val="left" w:pos="920"/>
        </w:tabs>
        <w:spacing w:line="595" w:lineRule="exact"/>
        <w:jc w:val="center"/>
        <w:rPr>
          <w:rFonts w:ascii="宋体" w:hAnsi="宋体"/>
          <w:color w:val="auto"/>
          <w:sz w:val="38"/>
          <w:szCs w:val="38"/>
          <w:lang w:val="zh-TW" w:eastAsia="zh-TW" w:bidi="zh-TW"/>
        </w:rPr>
      </w:pPr>
      <w:r>
        <w:rPr>
          <w:rFonts w:hint="eastAsia" w:ascii="宋体" w:hAnsi="宋体"/>
          <w:color w:val="auto"/>
          <w:sz w:val="38"/>
          <w:szCs w:val="38"/>
          <w:lang w:eastAsia="zh-CN" w:bidi="zh-TW"/>
        </w:rPr>
        <w:t xml:space="preserve"> </w:t>
      </w:r>
      <w:r>
        <w:rPr>
          <w:rFonts w:ascii="宋体" w:hAnsi="宋体"/>
          <w:color w:val="auto"/>
          <w:sz w:val="38"/>
          <w:szCs w:val="38"/>
          <w:lang w:val="zh-TW" w:eastAsia="zh-TW" w:bidi="zh-TW"/>
        </w:rPr>
        <w:t>鼓励大学生参军入伍若干规定（试行）</w:t>
      </w:r>
    </w:p>
    <w:p>
      <w:pPr>
        <w:widowControl/>
        <w:rPr>
          <w:rFonts w:ascii="宋体" w:hAnsi="宋体"/>
          <w:sz w:val="18"/>
          <w:lang w:eastAsia="zh-CN" w:bidi="ar"/>
        </w:rPr>
      </w:pP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为响应国家号召，支持国防建设，鼓励在校学生积极参军入伍，经学校研究决定，针对大学生入伍及退役复学学生的学业问题，特制定本规定。</w:t>
      </w:r>
    </w:p>
    <w:p>
      <w:pPr>
        <w:widowControl/>
        <w:numPr>
          <w:ilvl w:val="0"/>
          <w:numId w:val="8"/>
        </w:numPr>
        <w:spacing w:line="360" w:lineRule="auto"/>
        <w:ind w:firstLine="360" w:firstLineChars="200"/>
        <w:rPr>
          <w:rFonts w:ascii="宋体" w:hAnsi="宋体"/>
          <w:sz w:val="18"/>
          <w:lang w:eastAsia="zh-CN" w:bidi="ar"/>
        </w:rPr>
      </w:pPr>
      <w:r>
        <w:rPr>
          <w:rFonts w:hint="eastAsia" w:ascii="宋体" w:hAnsi="宋体"/>
          <w:sz w:val="18"/>
          <w:lang w:eastAsia="zh-CN" w:bidi="ar"/>
        </w:rPr>
        <w:t>入伍学生在服役期间可保留学籍或入学资格，退役后2年内须复学或入学。因特殊情况不能按时复学或入学的，须到校办理有关手续，否则视为自动退学或放弃入学资格。</w:t>
      </w:r>
    </w:p>
    <w:p>
      <w:pPr>
        <w:widowControl/>
        <w:numPr>
          <w:ilvl w:val="0"/>
          <w:numId w:val="8"/>
        </w:numPr>
        <w:spacing w:line="360" w:lineRule="auto"/>
        <w:ind w:firstLine="360" w:firstLineChars="200"/>
        <w:rPr>
          <w:rFonts w:ascii="宋体" w:hAnsi="宋体"/>
          <w:sz w:val="18"/>
          <w:lang w:eastAsia="zh-CN" w:bidi="ar"/>
        </w:rPr>
      </w:pPr>
      <w:r>
        <w:rPr>
          <w:rFonts w:hint="eastAsia" w:ascii="宋体" w:hAnsi="宋体"/>
          <w:sz w:val="18"/>
          <w:lang w:eastAsia="zh-CN" w:bidi="ar"/>
        </w:rPr>
        <w:t>在校学生或新生参军入伍退役复学或入学后，依据《退役士兵安置条例》相关规定，可免修公共体育课、军事技能课和军事理论课，直接获得学分，成绩以优秀等次记载。在校生（含当年录取新生)服役八个月以上经历可作为毕业实习经历。</w:t>
      </w:r>
    </w:p>
    <w:p>
      <w:pPr>
        <w:widowControl/>
        <w:numPr>
          <w:ilvl w:val="0"/>
          <w:numId w:val="8"/>
        </w:numPr>
        <w:spacing w:line="360" w:lineRule="auto"/>
        <w:ind w:firstLine="360" w:firstLineChars="200"/>
        <w:rPr>
          <w:rFonts w:ascii="宋体" w:hAnsi="宋体"/>
          <w:sz w:val="18"/>
          <w:lang w:eastAsia="zh-CN" w:bidi="ar"/>
        </w:rPr>
      </w:pPr>
      <w:r>
        <w:rPr>
          <w:rFonts w:hint="eastAsia" w:ascii="宋体" w:hAnsi="宋体"/>
          <w:sz w:val="18"/>
          <w:lang w:eastAsia="zh-CN" w:bidi="ar"/>
        </w:rPr>
        <w:t>当年录取新生或大学一年级在校生应征入伍的，退役复学后可根据个人爱好、兴趣特长等申请转专业，经学校同意并履行相关手续后，可优先转入申请专业学习。</w:t>
      </w:r>
    </w:p>
    <w:p>
      <w:pPr>
        <w:widowControl/>
        <w:numPr>
          <w:ilvl w:val="0"/>
          <w:numId w:val="8"/>
        </w:numPr>
        <w:spacing w:line="360" w:lineRule="auto"/>
        <w:ind w:firstLine="360" w:firstLineChars="200"/>
        <w:rPr>
          <w:rFonts w:ascii="宋体" w:hAnsi="宋体"/>
          <w:sz w:val="18"/>
          <w:lang w:eastAsia="zh-CN" w:bidi="ar"/>
        </w:rPr>
      </w:pPr>
      <w:r>
        <w:rPr>
          <w:rFonts w:hint="eastAsia" w:ascii="宋体" w:hAnsi="宋体"/>
          <w:sz w:val="18"/>
          <w:lang w:eastAsia="zh-CN" w:bidi="ar"/>
        </w:rPr>
        <w:t>参军入伍学生（含新生）退役复学或入学后，在各类学生评优表彰活动中，同等条件下给予优先评优表彰。</w:t>
      </w:r>
    </w:p>
    <w:p>
      <w:pPr>
        <w:widowControl/>
        <w:numPr>
          <w:ilvl w:val="0"/>
          <w:numId w:val="8"/>
        </w:numPr>
        <w:spacing w:line="360" w:lineRule="auto"/>
        <w:ind w:firstLine="360" w:firstLineChars="200"/>
        <w:rPr>
          <w:rFonts w:ascii="宋体" w:hAnsi="宋体"/>
          <w:sz w:val="18"/>
          <w:lang w:eastAsia="zh-CN" w:bidi="ar"/>
        </w:rPr>
      </w:pPr>
      <w:r>
        <w:rPr>
          <w:rFonts w:hint="eastAsia" w:ascii="宋体" w:hAnsi="宋体"/>
          <w:sz w:val="18"/>
          <w:lang w:eastAsia="zh-CN" w:bidi="ar"/>
        </w:rPr>
        <w:t>大学三年级学习结束参军入伍的学生，在入伍2年后，应部队需要继续服兵役，且专业学习未完成学分少于等于35学分的，可申请以学校与部队联合培养方式完成相应学分，符合学校规定条件的，学校给予颁发毕业证书和学位证书。</w:t>
      </w:r>
    </w:p>
    <w:p>
      <w:pPr>
        <w:widowControl/>
        <w:spacing w:line="360" w:lineRule="auto"/>
        <w:ind w:firstLine="360" w:firstLineChars="200"/>
        <w:rPr>
          <w:rFonts w:ascii="宋体" w:hAnsi="宋体"/>
          <w:sz w:val="18"/>
          <w:lang w:eastAsia="zh-CN" w:bidi="ar"/>
        </w:rPr>
      </w:pP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申请联合培养的手续办理与学习方式如下：</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1.入伍2年结束前，由服兵役部队（团级及以上单位）出具继续服兵役证明和拟联合培养意向书。</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 xml:space="preserve">2.个人提出联合培养申请。 </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3.学校教学主管部门会同学生所在学院和服兵役部队为学生制定联合培养计划。联合培养计划原则上按照专业培养要求，补齐各环节应完成的学分。学习安排按照联合培养计划确定的时间进行。</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 xml:space="preserve">本规定第二条明确的免修、毕业实习学分按第二条办理；如部队确有特殊需要，可以对原专业培养方案个别课程进行调整。 </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 xml:space="preserve">4.课程学习可以采取集中面授、自学或网课方式进行，实践课程可以部队专业工作实践方式进行，毕业设计由学校和部队配备双导师方式联合指导完成，并参加学校组织的毕设答辩。 </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 xml:space="preserve">5.在遵循学校规定的学习考核方式前提下，可根据实际情况，由学院和部队协商确定联合培养教学环节考核。 </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6.联合培养成绩单独登录，学生学习结束后，一并存入学生档案。</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7.在联合培养开始前，学生须按照学校规定缴纳相应课程学费。国家关于服兵役的政策补贴，待学生完成学业且申请获批后返还给学生个人。</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 xml:space="preserve">8.学生联合培养期间，对学生的管理由服兵役部队负责，学生的学籍恢复等相关事宜由学校负责。 </w:t>
      </w:r>
    </w:p>
    <w:p>
      <w:pPr>
        <w:widowControl/>
        <w:spacing w:line="360" w:lineRule="auto"/>
        <w:ind w:firstLine="360" w:firstLineChars="200"/>
        <w:rPr>
          <w:rFonts w:ascii="宋体" w:hAnsi="宋体"/>
          <w:sz w:val="18"/>
          <w:lang w:eastAsia="zh-CN" w:bidi="ar"/>
        </w:rPr>
      </w:pPr>
      <w:r>
        <w:rPr>
          <w:rFonts w:hint="eastAsia" w:ascii="宋体" w:hAnsi="宋体"/>
          <w:sz w:val="18"/>
          <w:lang w:eastAsia="zh-CN" w:bidi="ar"/>
        </w:rPr>
        <w:t>9.本规定自发文之日起执行。</w:t>
      </w:r>
    </w:p>
    <w:p>
      <w:pPr>
        <w:tabs>
          <w:tab w:val="left" w:pos="920"/>
        </w:tabs>
        <w:spacing w:line="306" w:lineRule="exact"/>
        <w:jc w:val="both"/>
        <w:rPr>
          <w:rFonts w:ascii="宋体" w:hAnsi="宋体"/>
          <w:color w:val="auto"/>
          <w:sz w:val="18"/>
          <w:lang w:val="zh-TW" w:eastAsia="zh-TW" w:bidi="zh-TW"/>
        </w:rPr>
      </w:pPr>
    </w:p>
    <w:p>
      <w:pPr>
        <w:rPr>
          <w:rFonts w:ascii="宋体" w:hAnsi="宋体"/>
          <w:color w:val="auto"/>
          <w:sz w:val="18"/>
          <w:lang w:val="zh-TW" w:eastAsia="zh-TW" w:bidi="zh-TW"/>
        </w:rPr>
      </w:pPr>
      <w:r>
        <w:rPr>
          <w:rFonts w:ascii="宋体" w:hAnsi="宋体"/>
          <w:color w:val="auto"/>
          <w:sz w:val="18"/>
          <w:lang w:val="zh-TW" w:eastAsia="zh-TW" w:bidi="zh-TW"/>
        </w:rPr>
        <w:br w:type="page"/>
      </w:r>
    </w:p>
    <w:p>
      <w:pPr>
        <w:rPr>
          <w:rFonts w:ascii="宋体" w:hAnsi="宋体"/>
          <w:color w:val="auto"/>
          <w:sz w:val="18"/>
          <w:lang w:val="zh-TW" w:eastAsia="zh-TW" w:bidi="zh-TW"/>
        </w:rPr>
        <w:sectPr>
          <w:headerReference r:id="rId22" w:type="default"/>
          <w:footerReference r:id="rId24" w:type="default"/>
          <w:headerReference r:id="rId23" w:type="even"/>
          <w:footerReference r:id="rId25" w:type="even"/>
          <w:pgSz w:w="9800" w:h="15120"/>
          <w:pgMar w:top="1043" w:right="652" w:bottom="987" w:left="663" w:header="0" w:footer="3" w:gutter="0"/>
          <w:pgNumType w:fmt="decimal"/>
          <w:cols w:space="720" w:num="1"/>
          <w:docGrid w:linePitch="360" w:charSpace="0"/>
        </w:sectPr>
      </w:pPr>
    </w:p>
    <w:p>
      <w:pPr>
        <w:keepNext/>
        <w:keepLines/>
        <w:pageBreakBefore w:val="0"/>
        <w:widowControl w:val="0"/>
        <w:kinsoku/>
        <w:wordWrap/>
        <w:overflowPunct/>
        <w:topLinePunct w:val="0"/>
        <w:autoSpaceDE/>
        <w:autoSpaceDN/>
        <w:bidi w:val="0"/>
        <w:adjustRightInd/>
        <w:snapToGrid/>
        <w:spacing w:before="80" w:after="320" w:line="595" w:lineRule="exact"/>
        <w:jc w:val="center"/>
        <w:textAlignment w:val="auto"/>
        <w:outlineLvl w:val="9"/>
        <w:rPr>
          <w:rFonts w:ascii="宋体" w:hAnsi="宋体"/>
          <w:color w:val="auto"/>
          <w:sz w:val="38"/>
          <w:szCs w:val="38"/>
          <w:highlight w:val="none"/>
          <w:lang w:val="zh-TW" w:eastAsia="zh-TW" w:bidi="zh-TW"/>
        </w:rPr>
      </w:pPr>
      <w:bookmarkStart w:id="284" w:name="bookmark506"/>
      <w:bookmarkStart w:id="285" w:name="bookmark505"/>
      <w:bookmarkStart w:id="286" w:name="bookmark507"/>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学生评优评奖工作实施办法</w:t>
      </w:r>
      <w:bookmarkEnd w:id="284"/>
      <w:bookmarkEnd w:id="285"/>
      <w:bookmarkEnd w:id="286"/>
    </w:p>
    <w:p>
      <w:pPr>
        <w:spacing w:after="140"/>
        <w:ind w:firstLine="420"/>
        <w:rPr>
          <w:rFonts w:ascii="宋体" w:hAnsi="宋体"/>
          <w:b/>
          <w:bCs/>
          <w:color w:val="auto"/>
          <w:sz w:val="22"/>
          <w:szCs w:val="22"/>
          <w:lang w:val="zh-TW" w:eastAsia="zh-TW" w:bidi="zh-TW"/>
        </w:rPr>
      </w:pPr>
      <w:r>
        <w:rPr>
          <w:rFonts w:ascii="宋体" w:hAnsi="宋体"/>
          <w:b/>
          <w:bCs/>
          <w:color w:val="auto"/>
          <w:sz w:val="22"/>
          <w:szCs w:val="22"/>
          <w:lang w:val="zh-TW" w:eastAsia="zh-TW" w:bidi="zh-TW"/>
        </w:rPr>
        <w:t>—、总则</w:t>
      </w:r>
    </w:p>
    <w:p>
      <w:pPr>
        <w:spacing w:line="298"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第一条</w:t>
      </w:r>
      <w:r>
        <w:rPr>
          <w:rFonts w:ascii="宋体" w:hAnsi="宋体"/>
          <w:color w:val="auto"/>
          <w:sz w:val="18"/>
          <w:lang w:val="zh-TW" w:eastAsia="zh-TW" w:bidi="zh-TW"/>
        </w:rPr>
        <w:t>为积极推进我校学生素质教育工作的开展，促进学生全面发展</w:t>
      </w:r>
      <w:r>
        <w:rPr>
          <w:rFonts w:hint="eastAsia" w:ascii="宋体" w:hAnsi="宋体"/>
          <w:color w:val="auto"/>
          <w:sz w:val="18"/>
          <w:lang w:val="zh-TW" w:eastAsia="zh-TW" w:bidi="zh-TW"/>
        </w:rPr>
        <w:t>，</w:t>
      </w:r>
      <w:r>
        <w:rPr>
          <w:rFonts w:ascii="宋体" w:hAnsi="宋体"/>
          <w:color w:val="auto"/>
          <w:sz w:val="18"/>
          <w:lang w:val="zh-TW" w:eastAsia="zh-TW" w:bidi="zh-TW"/>
        </w:rPr>
        <w:t>依据《中华人民共和国教育法》和《中华人民共和国高等教育法》的有关规定，结合我校实际情况，在我校学生中实行学生素质综合测评及评优评奖制度。</w:t>
      </w:r>
    </w:p>
    <w:p>
      <w:pPr>
        <w:spacing w:line="298"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第二条</w:t>
      </w:r>
      <w:r>
        <w:rPr>
          <w:rFonts w:ascii="宋体" w:hAnsi="宋体"/>
          <w:color w:val="auto"/>
          <w:sz w:val="18"/>
          <w:lang w:val="zh-TW" w:eastAsia="zh-TW" w:bidi="zh-TW"/>
        </w:rPr>
        <w:t>为奖励优秀学生，凡本校学生德、智、体全面发展或在学业成绩、文体活动、社会工作以及其他方面表现突出者，依据本条例给予奖励。</w:t>
      </w:r>
    </w:p>
    <w:p>
      <w:pPr>
        <w:spacing w:line="298"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第三条</w:t>
      </w:r>
      <w:r>
        <w:rPr>
          <w:rFonts w:ascii="宋体" w:hAnsi="宋体"/>
          <w:color w:val="auto"/>
          <w:sz w:val="18"/>
          <w:lang w:val="zh-TW" w:eastAsia="zh-TW" w:bidi="zh-TW"/>
        </w:rPr>
        <w:t>学校对各项奖励的评审遵循公开、公正、公平原则；以</w:t>
      </w:r>
      <w:r>
        <w:rPr>
          <w:rFonts w:ascii="宋体" w:hAnsi="宋体"/>
          <w:color w:val="auto"/>
          <w:sz w:val="18"/>
          <w:lang w:val="zh-CN" w:eastAsia="zh-CN" w:bidi="zh-CN"/>
        </w:rPr>
        <w:t>“细则</w:t>
      </w:r>
      <w:r>
        <w:rPr>
          <w:rFonts w:ascii="宋体" w:hAnsi="宋体"/>
          <w:color w:val="auto"/>
          <w:sz w:val="18"/>
          <w:lang w:val="zh-TW" w:eastAsia="zh-TW" w:bidi="zh-TW"/>
        </w:rPr>
        <w:t>公示；学生本人自评；班级小组初评；专业公示、监督、修改；学院公示确定”为基本的工作程序。</w:t>
      </w:r>
    </w:p>
    <w:p>
      <w:pPr>
        <w:spacing w:after="220" w:line="298"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第四条</w:t>
      </w:r>
      <w:r>
        <w:rPr>
          <w:rFonts w:ascii="宋体" w:hAnsi="宋体"/>
          <w:color w:val="auto"/>
          <w:sz w:val="18"/>
          <w:lang w:val="zh-TW" w:eastAsia="zh-TW" w:bidi="zh-TW"/>
        </w:rPr>
        <w:t>奖学金评定每学年进行一次。</w:t>
      </w:r>
      <w:r>
        <w:rPr>
          <w:color w:val="auto"/>
          <w:szCs w:val="20"/>
          <w:lang w:val="zh-TW" w:eastAsia="zh-TW" w:bidi="zh-TW"/>
        </w:rPr>
        <w:t>9</w:t>
      </w:r>
      <w:r>
        <w:rPr>
          <w:rFonts w:ascii="宋体" w:hAnsi="宋体"/>
          <w:color w:val="auto"/>
          <w:sz w:val="18"/>
          <w:lang w:val="zh-TW" w:eastAsia="zh-TW" w:bidi="zh-TW"/>
        </w:rPr>
        <w:t>月份进行的评定以学生综合测评总分为依据。各类荣誉称号每学年评定</w:t>
      </w:r>
      <w:r>
        <w:rPr>
          <w:rFonts w:ascii="宋体" w:hAnsi="宋体"/>
          <w:color w:val="auto"/>
          <w:sz w:val="18"/>
          <w:lang w:val="zh-CN" w:eastAsia="zh-CN" w:bidi="zh-CN"/>
        </w:rPr>
        <w:t>一次，</w:t>
      </w:r>
      <w:r>
        <w:rPr>
          <w:rFonts w:ascii="宋体" w:hAnsi="宋体"/>
          <w:color w:val="auto"/>
          <w:sz w:val="18"/>
          <w:lang w:val="zh-TW" w:eastAsia="zh-TW" w:bidi="zh-TW"/>
        </w:rPr>
        <w:t>结合</w:t>
      </w:r>
      <w:r>
        <w:rPr>
          <w:color w:val="auto"/>
          <w:szCs w:val="20"/>
          <w:lang w:val="zh-TW" w:eastAsia="zh-TW" w:bidi="zh-TW"/>
        </w:rPr>
        <w:t>9</w:t>
      </w:r>
      <w:r>
        <w:rPr>
          <w:rFonts w:ascii="宋体" w:hAnsi="宋体"/>
          <w:color w:val="auto"/>
          <w:sz w:val="18"/>
          <w:lang w:val="zh-TW" w:eastAsia="zh-TW" w:bidi="zh-TW"/>
        </w:rPr>
        <w:t>月份评定的学生综合测评总分进行，</w:t>
      </w:r>
      <w:r>
        <w:rPr>
          <w:color w:val="auto"/>
          <w:szCs w:val="20"/>
          <w:lang w:val="zh-TW" w:eastAsia="zh-TW" w:bidi="zh-TW"/>
        </w:rPr>
        <w:t>12</w:t>
      </w:r>
      <w:r>
        <w:rPr>
          <w:rFonts w:ascii="宋体" w:hAnsi="宋体"/>
          <w:color w:val="auto"/>
          <w:sz w:val="18"/>
          <w:lang w:val="zh-TW" w:eastAsia="zh-TW" w:bidi="zh-TW"/>
        </w:rPr>
        <w:t>月份进行表彰与颁奖，毕业班评优评奖定在每年</w:t>
      </w:r>
      <w:r>
        <w:rPr>
          <w:color w:val="auto"/>
          <w:szCs w:val="20"/>
          <w:lang w:val="zh-TW" w:eastAsia="zh-TW" w:bidi="zh-TW"/>
        </w:rPr>
        <w:t>4</w:t>
      </w:r>
      <w:r>
        <w:rPr>
          <w:rFonts w:ascii="宋体" w:hAnsi="宋体"/>
          <w:color w:val="auto"/>
          <w:sz w:val="18"/>
          <w:lang w:val="zh-TW" w:eastAsia="zh-TW" w:bidi="zh-TW"/>
        </w:rPr>
        <w:t>月份进行。</w:t>
      </w:r>
    </w:p>
    <w:p>
      <w:pPr>
        <w:spacing w:after="140"/>
        <w:ind w:firstLine="420"/>
        <w:jc w:val="both"/>
        <w:rPr>
          <w:rFonts w:ascii="宋体" w:hAnsi="宋体"/>
          <w:b/>
          <w:bCs/>
          <w:color w:val="auto"/>
          <w:sz w:val="22"/>
          <w:szCs w:val="22"/>
          <w:lang w:val="zh-TW" w:eastAsia="zh-TW" w:bidi="zh-TW"/>
        </w:rPr>
      </w:pPr>
      <w:bookmarkStart w:id="287" w:name="bookmark508"/>
      <w:r>
        <w:rPr>
          <w:rFonts w:ascii="宋体" w:hAnsi="宋体"/>
          <w:b/>
          <w:bCs/>
          <w:color w:val="auto"/>
          <w:sz w:val="22"/>
          <w:szCs w:val="22"/>
          <w:lang w:val="zh-TW" w:eastAsia="zh-TW" w:bidi="zh-TW"/>
        </w:rPr>
        <w:t>二</w:t>
      </w:r>
      <w:bookmarkEnd w:id="287"/>
      <w:r>
        <w:rPr>
          <w:rFonts w:ascii="宋体" w:hAnsi="宋体"/>
          <w:b/>
          <w:bCs/>
          <w:color w:val="auto"/>
          <w:sz w:val="22"/>
          <w:szCs w:val="22"/>
          <w:lang w:val="zh-TW" w:eastAsia="zh-TW" w:bidi="zh-TW"/>
        </w:rPr>
        <w:t>、奖励种类和方式</w:t>
      </w:r>
    </w:p>
    <w:p>
      <w:pPr>
        <w:spacing w:line="300" w:lineRule="exact"/>
        <w:ind w:firstLine="420"/>
        <w:rPr>
          <w:rFonts w:ascii="宋体" w:hAnsi="宋体"/>
          <w:color w:val="auto"/>
          <w:sz w:val="18"/>
          <w:lang w:val="zh-TW" w:eastAsia="zh-TW" w:bidi="zh-TW"/>
        </w:rPr>
      </w:pPr>
      <w:r>
        <w:rPr>
          <w:rFonts w:ascii="宋体" w:hAnsi="宋体"/>
          <w:b/>
          <w:bCs/>
          <w:color w:val="auto"/>
          <w:sz w:val="18"/>
          <w:lang w:val="zh-TW" w:eastAsia="zh-TW" w:bidi="zh-TW"/>
        </w:rPr>
        <w:t>第五条</w:t>
      </w:r>
      <w:r>
        <w:rPr>
          <w:rFonts w:ascii="宋体" w:hAnsi="宋体"/>
          <w:color w:val="auto"/>
          <w:sz w:val="18"/>
          <w:lang w:val="zh-TW" w:eastAsia="zh-TW" w:bidi="zh-TW"/>
        </w:rPr>
        <w:t>学校设立以下若干优秀个人奖：</w:t>
      </w:r>
    </w:p>
    <w:p>
      <w:pPr>
        <w:spacing w:line="300" w:lineRule="exact"/>
        <w:ind w:firstLine="420"/>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）三好学生标兵；</w:t>
      </w:r>
    </w:p>
    <w:p>
      <w:pPr>
        <w:tabs>
          <w:tab w:val="left" w:pos="1062"/>
        </w:tabs>
        <w:spacing w:line="300" w:lineRule="exact"/>
        <w:ind w:firstLine="420"/>
        <w:rPr>
          <w:rFonts w:ascii="宋体" w:hAnsi="宋体"/>
          <w:color w:val="auto"/>
          <w:sz w:val="18"/>
          <w:lang w:val="zh-TW" w:eastAsia="zh-TW" w:bidi="zh-TW"/>
        </w:rPr>
      </w:pPr>
      <w:r>
        <w:rPr>
          <w:rFonts w:ascii="宋体" w:hAnsi="宋体"/>
          <w:color w:val="auto"/>
          <w:sz w:val="18"/>
          <w:lang w:val="zh-TW" w:eastAsia="zh-TW" w:bidi="zh-TW"/>
        </w:rPr>
        <w:t>（二）三好学生；</w:t>
      </w:r>
    </w:p>
    <w:p>
      <w:pPr>
        <w:tabs>
          <w:tab w:val="left" w:pos="1062"/>
        </w:tabs>
        <w:spacing w:line="300" w:lineRule="exact"/>
        <w:ind w:firstLine="420"/>
        <w:rPr>
          <w:rFonts w:ascii="宋体" w:hAnsi="宋体"/>
          <w:color w:val="auto"/>
          <w:sz w:val="18"/>
          <w:lang w:val="zh-TW" w:eastAsia="zh-TW" w:bidi="zh-TW"/>
        </w:rPr>
      </w:pPr>
      <w:r>
        <w:rPr>
          <w:rFonts w:ascii="宋体" w:hAnsi="宋体"/>
          <w:color w:val="auto"/>
          <w:sz w:val="18"/>
          <w:lang w:val="zh-TW" w:eastAsia="zh-TW" w:bidi="zh-TW"/>
        </w:rPr>
        <w:t>（三）优秀学生干部；</w:t>
      </w:r>
    </w:p>
    <w:p>
      <w:pPr>
        <w:tabs>
          <w:tab w:val="left" w:pos="1062"/>
        </w:tabs>
        <w:spacing w:line="300" w:lineRule="exact"/>
        <w:ind w:firstLine="420"/>
        <w:rPr>
          <w:rFonts w:ascii="宋体" w:hAnsi="宋体"/>
          <w:color w:val="auto"/>
          <w:sz w:val="18"/>
          <w:lang w:val="zh-TW" w:eastAsia="zh-TW" w:bidi="zh-TW"/>
        </w:rPr>
      </w:pPr>
      <w:r>
        <w:rPr>
          <w:rFonts w:ascii="宋体" w:hAnsi="宋体"/>
          <w:color w:val="auto"/>
          <w:sz w:val="18"/>
          <w:lang w:val="zh-TW" w:eastAsia="zh-TW" w:bidi="zh-TW"/>
        </w:rPr>
        <w:t>（四）优秀毕业生；</w:t>
      </w:r>
    </w:p>
    <w:p>
      <w:pPr>
        <w:tabs>
          <w:tab w:val="left" w:pos="1062"/>
        </w:tabs>
        <w:spacing w:line="300" w:lineRule="exact"/>
        <w:ind w:firstLine="420"/>
        <w:rPr>
          <w:rFonts w:ascii="宋体" w:hAnsi="宋体"/>
          <w:color w:val="auto"/>
          <w:sz w:val="18"/>
          <w:lang w:val="zh-TW" w:eastAsia="zh-TW" w:bidi="zh-TW"/>
        </w:rPr>
      </w:pPr>
      <w:r>
        <w:rPr>
          <w:rFonts w:ascii="宋体" w:hAnsi="宋体"/>
          <w:color w:val="auto"/>
          <w:sz w:val="18"/>
          <w:lang w:val="zh-TW" w:eastAsia="zh-TW" w:bidi="zh-TW"/>
        </w:rPr>
        <w:t>（五）优秀学生奖学金；</w:t>
      </w:r>
    </w:p>
    <w:p>
      <w:pPr>
        <w:tabs>
          <w:tab w:val="left" w:pos="1062"/>
        </w:tabs>
        <w:spacing w:line="300" w:lineRule="exact"/>
        <w:ind w:firstLine="420"/>
        <w:rPr>
          <w:rFonts w:ascii="宋体" w:hAnsi="宋体"/>
          <w:color w:val="auto"/>
          <w:sz w:val="18"/>
          <w:lang w:val="zh-TW" w:eastAsia="zh-TW" w:bidi="zh-TW"/>
        </w:rPr>
      </w:pPr>
      <w:r>
        <w:rPr>
          <w:rFonts w:ascii="宋体" w:hAnsi="宋体"/>
          <w:color w:val="auto"/>
          <w:sz w:val="18"/>
          <w:lang w:val="zh-TW" w:eastAsia="zh-TW" w:bidi="zh-TW"/>
        </w:rPr>
        <w:t>（六）学习进步奖；</w:t>
      </w:r>
    </w:p>
    <w:p>
      <w:pPr>
        <w:tabs>
          <w:tab w:val="left" w:pos="1062"/>
        </w:tabs>
        <w:spacing w:line="300" w:lineRule="exact"/>
        <w:ind w:firstLine="420"/>
        <w:rPr>
          <w:rFonts w:ascii="宋体" w:hAnsi="宋体"/>
          <w:color w:val="auto"/>
          <w:sz w:val="18"/>
          <w:lang w:val="zh-TW" w:eastAsia="zh-TW" w:bidi="zh-TW"/>
        </w:rPr>
      </w:pPr>
      <w:r>
        <w:rPr>
          <w:rFonts w:ascii="宋体" w:hAnsi="宋体"/>
          <w:color w:val="auto"/>
          <w:sz w:val="18"/>
          <w:lang w:val="zh-TW" w:eastAsia="zh-TW" w:bidi="zh-TW"/>
        </w:rPr>
        <w:t>（七）优秀宿舍长。</w:t>
      </w:r>
    </w:p>
    <w:p>
      <w:pPr>
        <w:spacing w:after="80" w:line="300" w:lineRule="exact"/>
        <w:ind w:firstLine="420"/>
        <w:rPr>
          <w:rFonts w:ascii="宋体" w:hAnsi="宋体"/>
          <w:color w:val="auto"/>
          <w:sz w:val="18"/>
          <w:lang w:val="zh-TW" w:eastAsia="zh-TW" w:bidi="zh-TW"/>
        </w:rPr>
      </w:pPr>
      <w:r>
        <w:rPr>
          <w:rFonts w:ascii="宋体" w:hAnsi="宋体"/>
          <w:b/>
          <w:bCs/>
          <w:color w:val="auto"/>
          <w:sz w:val="18"/>
          <w:lang w:val="zh-TW" w:eastAsia="zh-TW" w:bidi="zh-TW"/>
        </w:rPr>
        <w:t>第六条</w:t>
      </w:r>
      <w:r>
        <w:rPr>
          <w:rFonts w:ascii="宋体" w:hAnsi="宋体"/>
          <w:color w:val="auto"/>
          <w:sz w:val="18"/>
          <w:lang w:val="zh-TW" w:eastAsia="zh-TW" w:bidi="zh-TW"/>
        </w:rPr>
        <w:t>学校设立以下若干优秀集体奖：</w:t>
      </w:r>
    </w:p>
    <w:p>
      <w:pPr>
        <w:ind w:firstLine="420"/>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）先进班级；</w:t>
      </w:r>
    </w:p>
    <w:p>
      <w:pPr>
        <w:tabs>
          <w:tab w:val="left" w:pos="1062"/>
        </w:tabs>
        <w:spacing w:line="302" w:lineRule="exact"/>
        <w:ind w:firstLine="420"/>
        <w:rPr>
          <w:rFonts w:ascii="宋体" w:hAnsi="宋体"/>
          <w:color w:val="auto"/>
          <w:sz w:val="18"/>
          <w:lang w:val="zh-TW" w:eastAsia="zh-TW" w:bidi="zh-TW"/>
        </w:rPr>
      </w:pPr>
      <w:r>
        <w:rPr>
          <w:rFonts w:ascii="宋体" w:hAnsi="宋体"/>
          <w:color w:val="auto"/>
          <w:sz w:val="18"/>
          <w:lang w:val="zh-TW" w:eastAsia="zh-TW" w:bidi="zh-TW"/>
        </w:rPr>
        <w:t>（二）学风建设标兵班级；</w:t>
      </w:r>
    </w:p>
    <w:p>
      <w:pPr>
        <w:tabs>
          <w:tab w:val="left" w:pos="1062"/>
        </w:tabs>
        <w:spacing w:line="302" w:lineRule="exact"/>
        <w:ind w:firstLine="420"/>
        <w:rPr>
          <w:rFonts w:ascii="宋体" w:hAnsi="宋体"/>
          <w:color w:val="auto"/>
          <w:sz w:val="18"/>
          <w:lang w:val="zh-TW" w:eastAsia="zh-TW" w:bidi="zh-TW"/>
        </w:rPr>
      </w:pPr>
      <w:r>
        <w:rPr>
          <w:rFonts w:ascii="宋体" w:hAnsi="宋体"/>
          <w:color w:val="auto"/>
          <w:sz w:val="18"/>
          <w:lang w:val="zh-TW" w:eastAsia="zh-TW" w:bidi="zh-TW"/>
        </w:rPr>
        <w:t>（三）文明宿舍；</w:t>
      </w:r>
    </w:p>
    <w:p>
      <w:pPr>
        <w:tabs>
          <w:tab w:val="left" w:pos="1062"/>
        </w:tabs>
        <w:spacing w:line="302" w:lineRule="exact"/>
        <w:ind w:firstLine="420"/>
        <w:rPr>
          <w:rFonts w:ascii="宋体" w:hAnsi="宋体"/>
          <w:color w:val="auto"/>
          <w:sz w:val="18"/>
          <w:lang w:val="zh-TW" w:eastAsia="zh-TW" w:bidi="zh-TW"/>
        </w:rPr>
      </w:pPr>
      <w:r>
        <w:rPr>
          <w:rFonts w:ascii="宋体" w:hAnsi="宋体"/>
          <w:color w:val="auto"/>
          <w:sz w:val="18"/>
          <w:lang w:val="zh-TW" w:eastAsia="zh-TW" w:bidi="zh-TW"/>
        </w:rPr>
        <w:t>（四）优良学风标兵宿舍。</w:t>
      </w:r>
    </w:p>
    <w:p>
      <w:pPr>
        <w:spacing w:line="302" w:lineRule="exact"/>
        <w:ind w:firstLine="420"/>
        <w:rPr>
          <w:rFonts w:ascii="宋体" w:hAnsi="宋体"/>
          <w:color w:val="auto"/>
          <w:sz w:val="18"/>
          <w:lang w:val="zh-TW" w:eastAsia="zh-TW" w:bidi="zh-TW"/>
        </w:rPr>
      </w:pPr>
      <w:r>
        <w:rPr>
          <w:rFonts w:ascii="宋体" w:hAnsi="宋体"/>
          <w:b/>
          <w:bCs/>
          <w:color w:val="auto"/>
          <w:sz w:val="18"/>
          <w:lang w:val="zh-TW" w:eastAsia="zh-TW" w:bidi="zh-TW"/>
        </w:rPr>
        <w:t>第七条</w:t>
      </w:r>
      <w:r>
        <w:rPr>
          <w:rFonts w:ascii="宋体" w:hAnsi="宋体"/>
          <w:color w:val="auto"/>
          <w:sz w:val="18"/>
          <w:lang w:val="zh-TW" w:eastAsia="zh-TW" w:bidi="zh-TW"/>
        </w:rPr>
        <w:t>学校对获得上述奖励的个人与集体采用以下方式予以表彰：</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）授予荣誉称号；</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ascii="宋体" w:hAnsi="宋体"/>
          <w:color w:val="auto"/>
          <w:sz w:val="18"/>
          <w:lang w:eastAsia="zh-CN"/>
        </w:rPr>
        <w:t>—</w:t>
      </w:r>
      <w:r>
        <w:rPr>
          <w:rFonts w:ascii="宋体" w:hAnsi="宋体"/>
          <w:color w:val="auto"/>
          <w:sz w:val="18"/>
          <w:lang w:val="zh-TW" w:eastAsia="zh-TW" w:bidi="zh-TW"/>
        </w:rPr>
        <w:t>）通报表扬；</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（三）颁发证书。</w:t>
      </w:r>
    </w:p>
    <w:p>
      <w:pPr>
        <w:spacing w:line="302" w:lineRule="exact"/>
        <w:ind w:firstLine="420"/>
        <w:rPr>
          <w:rFonts w:ascii="宋体" w:hAnsi="宋体"/>
          <w:color w:val="auto"/>
          <w:sz w:val="18"/>
          <w:lang w:val="zh-TW" w:eastAsia="zh-TW" w:bidi="zh-TW"/>
        </w:rPr>
      </w:pPr>
      <w:r>
        <w:rPr>
          <w:rFonts w:ascii="宋体" w:hAnsi="宋体"/>
          <w:b/>
          <w:bCs/>
          <w:color w:val="auto"/>
          <w:sz w:val="18"/>
          <w:lang w:val="zh-TW" w:eastAsia="zh-TW" w:bidi="zh-TW"/>
        </w:rPr>
        <w:t>第八条</w:t>
      </w:r>
      <w:r>
        <w:rPr>
          <w:rFonts w:ascii="宋体" w:hAnsi="宋体"/>
          <w:color w:val="auto"/>
          <w:sz w:val="18"/>
          <w:lang w:val="zh-TW" w:eastAsia="zh-TW" w:bidi="zh-TW"/>
        </w:rPr>
        <w:t>凡对国家、社会、学校做出特殊贡献并为学校赢得荣誉的集体或个人，学校将根据实际情况予以通令嘉奖或通报表扬，具体实施办法另行规定。</w:t>
      </w:r>
    </w:p>
    <w:p>
      <w:pPr>
        <w:spacing w:line="302" w:lineRule="exact"/>
        <w:ind w:firstLine="420"/>
        <w:rPr>
          <w:rFonts w:ascii="宋体" w:hAnsi="宋体"/>
          <w:color w:val="auto"/>
          <w:sz w:val="18"/>
          <w:lang w:val="zh-TW" w:eastAsia="zh-TW" w:bidi="zh-TW"/>
        </w:rPr>
      </w:pPr>
      <w:r>
        <w:rPr>
          <w:rFonts w:ascii="宋体" w:hAnsi="宋体"/>
          <w:b/>
          <w:bCs/>
          <w:color w:val="auto"/>
          <w:sz w:val="18"/>
          <w:lang w:val="zh-TW" w:eastAsia="zh-TW" w:bidi="zh-TW"/>
        </w:rPr>
        <w:t>第九条</w:t>
      </w:r>
      <w:r>
        <w:rPr>
          <w:rFonts w:ascii="宋体" w:hAnsi="宋体"/>
          <w:color w:val="auto"/>
          <w:sz w:val="18"/>
          <w:lang w:val="zh-TW" w:eastAsia="zh-TW" w:bidi="zh-TW"/>
        </w:rPr>
        <w:t>优秀学生奖学金的评定等级与获奖比例：</w:t>
      </w:r>
    </w:p>
    <w:p>
      <w:pPr>
        <w:spacing w:line="300" w:lineRule="exact"/>
        <w:ind w:firstLine="420"/>
        <w:rPr>
          <w:rFonts w:ascii="宋体" w:hAnsi="宋体"/>
          <w:color w:val="auto"/>
          <w:sz w:val="18"/>
          <w:lang w:val="zh-TW" w:eastAsia="zh-TW" w:bidi="zh-TW"/>
        </w:rPr>
      </w:pPr>
      <w:r>
        <w:rPr>
          <w:rFonts w:ascii="宋体" w:hAnsi="宋体"/>
          <w:color w:val="auto"/>
          <w:sz w:val="18"/>
          <w:lang w:val="zh-TW" w:eastAsia="zh-TW" w:bidi="zh-TW"/>
        </w:rPr>
        <w:t>一等奖</w:t>
      </w:r>
      <w:r>
        <w:rPr>
          <w:color w:val="auto"/>
          <w:szCs w:val="20"/>
          <w:lang w:val="zh-TW" w:eastAsia="zh-TW" w:bidi="zh-TW"/>
        </w:rPr>
        <w:t>2000</w:t>
      </w:r>
      <w:r>
        <w:rPr>
          <w:rFonts w:ascii="宋体" w:hAnsi="宋体"/>
          <w:color w:val="auto"/>
          <w:sz w:val="18"/>
          <w:lang w:val="zh-TW" w:eastAsia="zh-TW" w:bidi="zh-TW"/>
        </w:rPr>
        <w:t>元/学年；二等奖</w:t>
      </w:r>
      <w:r>
        <w:rPr>
          <w:color w:val="auto"/>
          <w:szCs w:val="20"/>
          <w:lang w:val="zh-TW" w:eastAsia="zh-TW" w:bidi="zh-TW"/>
        </w:rPr>
        <w:t>1000</w:t>
      </w:r>
      <w:r>
        <w:rPr>
          <w:rFonts w:ascii="宋体" w:hAnsi="宋体"/>
          <w:color w:val="auto"/>
          <w:sz w:val="18"/>
          <w:lang w:val="zh-TW" w:eastAsia="zh-TW" w:bidi="zh-TW"/>
        </w:rPr>
        <w:t>元/学年；三等奖</w:t>
      </w:r>
      <w:r>
        <w:rPr>
          <w:color w:val="auto"/>
          <w:szCs w:val="20"/>
          <w:lang w:val="zh-TW" w:eastAsia="zh-TW" w:bidi="zh-TW"/>
        </w:rPr>
        <w:t>500</w:t>
      </w:r>
      <w:r>
        <w:rPr>
          <w:rFonts w:ascii="宋体" w:hAnsi="宋体"/>
          <w:color w:val="auto"/>
          <w:sz w:val="18"/>
          <w:lang w:val="zh-TW" w:eastAsia="zh-TW" w:bidi="zh-TW"/>
        </w:rPr>
        <w:t>元/学年。</w:t>
      </w:r>
    </w:p>
    <w:p>
      <w:pPr>
        <w:spacing w:line="300" w:lineRule="exact"/>
        <w:ind w:firstLine="420"/>
        <w:rPr>
          <w:rFonts w:ascii="宋体" w:hAnsi="宋体"/>
          <w:color w:val="auto"/>
          <w:sz w:val="18"/>
          <w:lang w:val="zh-TW" w:eastAsia="zh-TW" w:bidi="zh-TW"/>
        </w:rPr>
      </w:pPr>
      <w:r>
        <w:rPr>
          <w:rFonts w:ascii="宋体" w:hAnsi="宋体"/>
          <w:b/>
          <w:bCs/>
          <w:color w:val="auto"/>
          <w:sz w:val="18"/>
          <w:lang w:val="zh-TW" w:eastAsia="zh-TW" w:bidi="zh-TW"/>
        </w:rPr>
        <w:t>第十条</w:t>
      </w:r>
      <w:r>
        <w:rPr>
          <w:rFonts w:ascii="宋体" w:hAnsi="宋体"/>
          <w:color w:val="auto"/>
          <w:sz w:val="18"/>
          <w:lang w:val="zh-TW" w:eastAsia="zh-TW" w:bidi="zh-TW"/>
        </w:rPr>
        <w:t>三好学生、三好学生标兵、优秀毕业生、优秀学生干部、优秀宿舍长、文明宿舍、优良学风标兵宿舍、先进班级、学风建设标兵班级的评比（同时满足所述条件）。</w:t>
      </w:r>
    </w:p>
    <w:p>
      <w:pPr>
        <w:tabs>
          <w:tab w:val="left" w:pos="1057"/>
        </w:tabs>
        <w:spacing w:after="80" w:line="305"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（一）三好学生的评比。</w:t>
      </w:r>
    </w:p>
    <w:p>
      <w:pPr>
        <w:tabs>
          <w:tab w:val="left" w:pos="7087"/>
        </w:tabs>
        <w:spacing w:line="319" w:lineRule="auto"/>
        <w:ind w:firstLine="400" w:firstLineChars="200"/>
        <w:jc w:val="both"/>
        <w:rPr>
          <w:rFonts w:ascii="宋体" w:hAnsi="宋体"/>
          <w:color w:val="auto"/>
          <w:sz w:val="18"/>
          <w:lang w:val="zh-TW" w:eastAsia="zh-TW" w:bidi="zh-TW"/>
        </w:rPr>
      </w:pPr>
      <w:bookmarkStart w:id="288" w:name="bookmark519"/>
      <w:bookmarkEnd w:id="288"/>
      <w:r>
        <w:rPr>
          <w:rFonts w:eastAsia="PMingLiU"/>
          <w:color w:val="auto"/>
          <w:lang w:val="zh-TW" w:eastAsia="zh-TW" w:bidi="zh-TW"/>
        </w:rPr>
        <w:t>1.</w:t>
      </w:r>
      <w:r>
        <w:rPr>
          <w:rFonts w:ascii="宋体" w:hAnsi="宋体"/>
          <w:color w:val="auto"/>
          <w:sz w:val="18"/>
          <w:lang w:val="zh-TW" w:eastAsia="zh-TW" w:bidi="zh-TW"/>
        </w:rPr>
        <w:t>评比比例：各专业三好学生人数不超过参加评比学生总数的</w:t>
      </w:r>
      <w:r>
        <w:rPr>
          <w:color w:val="auto"/>
          <w:szCs w:val="20"/>
          <w:lang w:val="zh-TW" w:eastAsia="zh-TW" w:bidi="zh-TW"/>
        </w:rPr>
        <w:t>15</w:t>
      </w:r>
      <w:r>
        <w:rPr>
          <w:rFonts w:ascii="宋体" w:hAnsi="宋体"/>
          <w:color w:val="auto"/>
          <w:sz w:val="18"/>
          <w:lang w:val="zh-TW" w:eastAsia="zh-TW" w:bidi="zh-TW"/>
        </w:rPr>
        <w:t>%</w:t>
      </w:r>
      <w:r>
        <w:rPr>
          <w:rFonts w:hint="eastAsia" w:ascii="宋体" w:hAnsi="宋体"/>
          <w:color w:val="auto"/>
          <w:szCs w:val="20"/>
          <w:lang w:val="zh-TW" w:eastAsia="zh-TW" w:bidi="zh-TW"/>
        </w:rPr>
        <w:t>。</w:t>
      </w:r>
    </w:p>
    <w:p>
      <w:pPr>
        <w:tabs>
          <w:tab w:val="left" w:pos="764"/>
        </w:tabs>
        <w:spacing w:line="319" w:lineRule="auto"/>
        <w:ind w:firstLine="400" w:firstLineChars="200"/>
        <w:jc w:val="both"/>
        <w:rPr>
          <w:rFonts w:ascii="宋体" w:hAnsi="宋体"/>
          <w:color w:val="auto"/>
          <w:sz w:val="18"/>
          <w:lang w:val="zh-TW" w:eastAsia="zh-TW" w:bidi="zh-TW"/>
        </w:rPr>
      </w:pPr>
      <w:bookmarkStart w:id="289" w:name="bookmark520"/>
      <w:bookmarkEnd w:id="289"/>
      <w:r>
        <w:rPr>
          <w:rFonts w:eastAsia="PMingLiU"/>
          <w:color w:val="auto"/>
          <w:lang w:val="zh-TW" w:eastAsia="zh-TW" w:bidi="zh-TW"/>
        </w:rPr>
        <w:t>2.</w:t>
      </w:r>
      <w:r>
        <w:rPr>
          <w:rFonts w:ascii="宋体" w:hAnsi="宋体"/>
          <w:color w:val="auto"/>
          <w:sz w:val="18"/>
          <w:lang w:val="zh-TW" w:eastAsia="zh-TW" w:bidi="zh-TW"/>
        </w:rPr>
        <w:t>评比条件：</w:t>
      </w:r>
    </w:p>
    <w:p>
      <w:pPr>
        <w:tabs>
          <w:tab w:val="left" w:pos="951"/>
        </w:tabs>
        <w:spacing w:line="319" w:lineRule="auto"/>
        <w:ind w:firstLine="420"/>
        <w:jc w:val="both"/>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综合测评中</w:t>
      </w:r>
      <w:r>
        <w:rPr>
          <w:rFonts w:ascii="宋体" w:hAnsi="宋体"/>
          <w:color w:val="auto"/>
          <w:sz w:val="18"/>
          <w:lang w:val="zh-CN" w:eastAsia="zh-CN" w:bidi="zh-CN"/>
        </w:rPr>
        <w:t>“思</w:t>
      </w:r>
      <w:r>
        <w:rPr>
          <w:rFonts w:ascii="宋体" w:hAnsi="宋体"/>
          <w:color w:val="auto"/>
          <w:sz w:val="18"/>
          <w:lang w:val="zh-TW" w:eastAsia="zh-TW" w:bidi="zh-TW"/>
        </w:rPr>
        <w:t>想道德素质”达</w:t>
      </w:r>
      <w:r>
        <w:rPr>
          <w:color w:val="auto"/>
          <w:szCs w:val="20"/>
          <w:lang w:eastAsia="zh-CN"/>
        </w:rPr>
        <w:t>A</w:t>
      </w:r>
      <w:r>
        <w:rPr>
          <w:rFonts w:ascii="宋体" w:hAnsi="宋体"/>
          <w:color w:val="auto"/>
          <w:sz w:val="18"/>
          <w:lang w:val="zh-TW" w:eastAsia="zh-TW" w:bidi="zh-TW"/>
        </w:rPr>
        <w:t>、</w:t>
      </w:r>
      <w:r>
        <w:rPr>
          <w:rFonts w:ascii="宋体" w:hAnsi="宋体"/>
          <w:color w:val="auto"/>
          <w:sz w:val="18"/>
          <w:lang w:val="zh-CN" w:eastAsia="zh-CN" w:bidi="zh-CN"/>
        </w:rPr>
        <w:t>“专</w:t>
      </w:r>
      <w:r>
        <w:rPr>
          <w:rFonts w:ascii="宋体" w:hAnsi="宋体"/>
          <w:color w:val="auto"/>
          <w:sz w:val="18"/>
          <w:lang w:val="zh-TW" w:eastAsia="zh-TW" w:bidi="zh-TW"/>
        </w:rPr>
        <w:t>业素质”、</w:t>
      </w:r>
      <w:r>
        <w:rPr>
          <w:rFonts w:ascii="宋体" w:hAnsi="宋体"/>
          <w:color w:val="auto"/>
          <w:sz w:val="18"/>
          <w:lang w:val="zh-CN" w:eastAsia="zh-CN" w:bidi="zh-CN"/>
        </w:rPr>
        <w:t>“能力</w:t>
      </w:r>
      <w:r>
        <w:rPr>
          <w:rFonts w:ascii="宋体" w:hAnsi="宋体"/>
          <w:color w:val="auto"/>
          <w:sz w:val="18"/>
          <w:lang w:val="zh-TW" w:eastAsia="zh-TW" w:bidi="zh-TW"/>
        </w:rPr>
        <w:t>素质”达</w:t>
      </w:r>
      <w:r>
        <w:rPr>
          <w:color w:val="auto"/>
          <w:szCs w:val="20"/>
          <w:lang w:eastAsia="zh-CN"/>
        </w:rPr>
        <w:t>B</w:t>
      </w:r>
      <w:r>
        <w:rPr>
          <w:rFonts w:ascii="宋体" w:hAnsi="宋体"/>
          <w:color w:val="auto"/>
          <w:sz w:val="18"/>
          <w:lang w:val="zh-TW" w:eastAsia="zh-TW" w:bidi="zh-TW"/>
        </w:rPr>
        <w:t>及以上；</w:t>
      </w:r>
    </w:p>
    <w:p>
      <w:pPr>
        <w:tabs>
          <w:tab w:val="left" w:pos="951"/>
        </w:tabs>
        <w:spacing w:line="305" w:lineRule="exact"/>
        <w:ind w:firstLine="42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2</w:t>
      </w:r>
      <w:r>
        <w:rPr>
          <w:rFonts w:ascii="宋体" w:hAnsi="宋体"/>
          <w:color w:val="auto"/>
          <w:sz w:val="18"/>
          <w:szCs w:val="20"/>
          <w:lang w:val="zh-TW" w:eastAsia="zh-TW" w:bidi="zh-TW"/>
        </w:rPr>
        <w:t>）</w:t>
      </w:r>
      <w:r>
        <w:rPr>
          <w:rFonts w:ascii="宋体" w:hAnsi="宋体"/>
          <w:color w:val="auto"/>
          <w:sz w:val="18"/>
          <w:lang w:val="zh-TW" w:eastAsia="zh-TW" w:bidi="zh-TW"/>
        </w:rPr>
        <w:t>本次评优获三等及以上优秀学生奖学金。</w:t>
      </w:r>
    </w:p>
    <w:p>
      <w:pPr>
        <w:tabs>
          <w:tab w:val="left" w:pos="1057"/>
        </w:tabs>
        <w:spacing w:after="80" w:line="305"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（二）三好学生标兵的评比。</w:t>
      </w:r>
    </w:p>
    <w:p>
      <w:pPr>
        <w:tabs>
          <w:tab w:val="left" w:pos="7087"/>
        </w:tabs>
        <w:spacing w:line="319" w:lineRule="auto"/>
        <w:ind w:firstLine="400"/>
        <w:jc w:val="both"/>
        <w:rPr>
          <w:rFonts w:ascii="宋体" w:hAnsi="宋体"/>
          <w:color w:val="auto"/>
          <w:sz w:val="18"/>
          <w:lang w:val="zh-TW" w:eastAsia="zh-TW" w:bidi="zh-TW"/>
        </w:rPr>
      </w:pPr>
      <w:bookmarkStart w:id="290" w:name="bookmark524"/>
      <w:bookmarkEnd w:id="290"/>
      <w:r>
        <w:rPr>
          <w:rFonts w:eastAsia="PMingLiU"/>
          <w:color w:val="auto"/>
          <w:lang w:val="zh-TW" w:eastAsia="zh-TW" w:bidi="zh-TW"/>
        </w:rPr>
        <w:t>1.</w:t>
      </w:r>
      <w:r>
        <w:rPr>
          <w:rFonts w:ascii="宋体" w:hAnsi="宋体"/>
          <w:color w:val="auto"/>
          <w:sz w:val="18"/>
          <w:lang w:val="zh-TW" w:eastAsia="zh-TW" w:bidi="zh-TW"/>
        </w:rPr>
        <w:t>评比比例：每年度三好学生标兵人数不超过年级参加评比学生总数的</w:t>
      </w:r>
      <w:r>
        <w:rPr>
          <w:color w:val="auto"/>
          <w:lang w:val="zh-TW" w:eastAsia="zh-TW" w:bidi="zh-TW"/>
        </w:rPr>
        <w:t>0.5</w:t>
      </w:r>
      <w:r>
        <w:rPr>
          <w:rFonts w:ascii="宋体" w:hAnsi="宋体"/>
          <w:color w:val="auto"/>
          <w:sz w:val="18"/>
          <w:lang w:val="zh-TW" w:eastAsia="zh-TW" w:bidi="zh-TW"/>
        </w:rPr>
        <w:t>%</w:t>
      </w:r>
      <w:r>
        <w:rPr>
          <w:rFonts w:hint="eastAsia" w:ascii="宋体" w:hAnsi="宋体"/>
          <w:color w:val="auto"/>
          <w:sz w:val="18"/>
          <w:lang w:val="zh-TW" w:eastAsia="zh-TW" w:bidi="zh-TW"/>
        </w:rPr>
        <w:t>。</w:t>
      </w:r>
    </w:p>
    <w:p>
      <w:pPr>
        <w:tabs>
          <w:tab w:val="left" w:pos="7087"/>
        </w:tabs>
        <w:spacing w:line="319" w:lineRule="auto"/>
        <w:ind w:firstLine="400" w:firstLineChars="200"/>
        <w:jc w:val="both"/>
        <w:rPr>
          <w:rFonts w:ascii="宋体" w:hAnsi="宋体" w:eastAsia="PMingLiU"/>
          <w:color w:val="auto"/>
          <w:sz w:val="18"/>
          <w:lang w:val="zh-TW" w:eastAsia="zh-TW" w:bidi="zh-TW"/>
        </w:rPr>
      </w:pPr>
      <w:bookmarkStart w:id="291" w:name="bookmark525"/>
      <w:bookmarkEnd w:id="291"/>
      <w:r>
        <w:rPr>
          <w:color w:val="auto"/>
          <w:lang w:val="zh-TW" w:eastAsia="zh-TW" w:bidi="zh-TW"/>
        </w:rPr>
        <w:t>2.</w:t>
      </w:r>
      <w:r>
        <w:rPr>
          <w:rFonts w:ascii="宋体" w:hAnsi="宋体"/>
          <w:color w:val="auto"/>
          <w:sz w:val="18"/>
          <w:lang w:val="zh-TW" w:eastAsia="zh-TW" w:bidi="zh-TW"/>
        </w:rPr>
        <w:t>评比条件：</w:t>
      </w:r>
    </w:p>
    <w:p>
      <w:pPr>
        <w:tabs>
          <w:tab w:val="left" w:pos="7087"/>
        </w:tabs>
        <w:spacing w:line="319" w:lineRule="auto"/>
        <w:ind w:firstLine="360" w:firstLineChars="200"/>
        <w:jc w:val="both"/>
        <w:rPr>
          <w:rFonts w:ascii="宋体" w:hAnsi="宋体" w:eastAsia="PMingLiU"/>
          <w:color w:val="auto"/>
          <w:sz w:val="18"/>
          <w:lang w:val="zh-TW" w:eastAsia="zh-TW" w:bidi="zh-TW"/>
        </w:rPr>
      </w:pPr>
      <w:r>
        <w:rPr>
          <w:rFonts w:ascii="宋体" w:hAnsi="宋体"/>
          <w:color w:val="auto"/>
          <w:sz w:val="18"/>
          <w:lang w:val="zh-TW" w:eastAsia="zh-TW" w:bidi="zh-TW"/>
        </w:rPr>
        <w:t>（</w:t>
      </w:r>
      <w:r>
        <w:rPr>
          <w:color w:val="auto"/>
          <w:lang w:val="zh-TW" w:eastAsia="zh-TW" w:bidi="zh-TW"/>
        </w:rPr>
        <w:t>1</w:t>
      </w:r>
      <w:r>
        <w:rPr>
          <w:rFonts w:ascii="宋体" w:hAnsi="宋体"/>
          <w:color w:val="auto"/>
          <w:sz w:val="18"/>
          <w:lang w:val="zh-TW" w:eastAsia="zh-TW" w:bidi="zh-TW"/>
        </w:rPr>
        <w:t>）符合三好学生评比条件</w:t>
      </w:r>
      <w:r>
        <w:rPr>
          <w:rFonts w:hint="eastAsia" w:ascii="宋体" w:hAnsi="宋体"/>
          <w:color w:val="auto"/>
          <w:sz w:val="18"/>
          <w:lang w:val="zh-TW" w:eastAsia="zh-TW" w:bidi="zh-TW"/>
        </w:rPr>
        <w:t>，</w:t>
      </w:r>
      <w:r>
        <w:rPr>
          <w:rFonts w:ascii="宋体" w:hAnsi="宋体"/>
          <w:color w:val="auto"/>
          <w:sz w:val="18"/>
          <w:lang w:val="zh-TW" w:eastAsia="zh-TW" w:bidi="zh-TW"/>
        </w:rPr>
        <w:t>综合测评成绩位于年级前列</w:t>
      </w:r>
      <w:r>
        <w:rPr>
          <w:rFonts w:hint="eastAsia" w:ascii="宋体" w:hAnsi="宋体"/>
          <w:color w:val="auto"/>
          <w:sz w:val="18"/>
          <w:lang w:val="zh-TW" w:eastAsia="zh-TW" w:bidi="zh-TW"/>
        </w:rPr>
        <w:t>，</w:t>
      </w:r>
      <w:r>
        <w:rPr>
          <w:rFonts w:ascii="宋体" w:hAnsi="宋体"/>
          <w:color w:val="auto"/>
          <w:sz w:val="18"/>
          <w:lang w:val="zh-TW" w:eastAsia="zh-TW" w:bidi="zh-TW"/>
        </w:rPr>
        <w:t>且被学生公认为学习榜样</w:t>
      </w:r>
      <w:r>
        <w:rPr>
          <w:rFonts w:hint="eastAsia" w:ascii="宋体" w:hAnsi="宋体"/>
          <w:color w:val="auto"/>
          <w:sz w:val="18"/>
          <w:lang w:val="zh-TW" w:eastAsia="zh-TW" w:bidi="zh-TW"/>
        </w:rPr>
        <w:t>；</w:t>
      </w:r>
    </w:p>
    <w:p>
      <w:pPr>
        <w:tabs>
          <w:tab w:val="left" w:pos="7087"/>
        </w:tabs>
        <w:spacing w:line="319" w:lineRule="auto"/>
        <w:ind w:firstLine="360" w:firstLineChars="200"/>
        <w:jc w:val="both"/>
        <w:rPr>
          <w:rFonts w:ascii="宋体" w:hAnsi="宋体"/>
          <w:color w:val="auto"/>
          <w:sz w:val="18"/>
          <w:lang w:val="zh-TW" w:eastAsia="zh-TW" w:bidi="zh-TW"/>
        </w:rPr>
      </w:pPr>
      <w:r>
        <w:rPr>
          <w:rFonts w:ascii="宋体" w:hAnsi="宋体"/>
          <w:color w:val="auto"/>
          <w:sz w:val="18"/>
          <w:lang w:val="zh-TW" w:eastAsia="zh-TW" w:bidi="zh-TW"/>
        </w:rPr>
        <w:t>（</w:t>
      </w:r>
      <w:r>
        <w:rPr>
          <w:color w:val="auto"/>
          <w:lang w:val="zh-TW" w:eastAsia="zh-TW" w:bidi="zh-TW"/>
        </w:rPr>
        <w:t>2</w:t>
      </w:r>
      <w:r>
        <w:rPr>
          <w:rFonts w:ascii="宋体" w:hAnsi="宋体"/>
          <w:color w:val="auto"/>
          <w:sz w:val="18"/>
          <w:lang w:val="zh-TW" w:eastAsia="zh-TW" w:bidi="zh-TW"/>
        </w:rPr>
        <w:t>）本次评优获优秀学生一等奖学金；</w:t>
      </w:r>
    </w:p>
    <w:p>
      <w:pPr>
        <w:tabs>
          <w:tab w:val="left" w:pos="7087"/>
        </w:tabs>
        <w:spacing w:line="319" w:lineRule="auto"/>
        <w:ind w:firstLine="360" w:firstLineChars="200"/>
        <w:jc w:val="both"/>
        <w:rPr>
          <w:rFonts w:ascii="宋体" w:hAnsi="宋体"/>
          <w:color w:val="auto"/>
          <w:sz w:val="18"/>
          <w:lang w:val="zh-TW" w:eastAsia="zh-CN" w:bidi="zh-TW"/>
        </w:rPr>
      </w:pPr>
      <w:r>
        <w:rPr>
          <w:rFonts w:ascii="宋体" w:hAnsi="宋体"/>
          <w:color w:val="auto"/>
          <w:sz w:val="18"/>
          <w:lang w:val="zh-TW" w:eastAsia="zh-TW" w:bidi="zh-TW"/>
        </w:rPr>
        <w:t>（</w:t>
      </w:r>
      <w:r>
        <w:rPr>
          <w:color w:val="auto"/>
          <w:lang w:val="zh-TW" w:eastAsia="zh-TW" w:bidi="zh-TW"/>
        </w:rPr>
        <w:t>3</w:t>
      </w:r>
      <w:r>
        <w:rPr>
          <w:rFonts w:ascii="宋体" w:hAnsi="宋体"/>
          <w:color w:val="auto"/>
          <w:sz w:val="18"/>
          <w:lang w:val="zh-TW" w:eastAsia="zh-TW" w:bidi="zh-TW"/>
        </w:rPr>
        <w:t>）三好学生标兵从三好学生中产生，并占三好学生名额</w:t>
      </w:r>
      <w:r>
        <w:rPr>
          <w:rFonts w:hint="eastAsia" w:ascii="宋体" w:hAnsi="宋体"/>
          <w:color w:val="auto"/>
          <w:sz w:val="18"/>
          <w:lang w:val="zh-TW" w:eastAsia="zh-CN" w:bidi="zh-TW"/>
        </w:rPr>
        <w:t>。</w:t>
      </w:r>
    </w:p>
    <w:p>
      <w:pPr>
        <w:tabs>
          <w:tab w:val="left" w:pos="1057"/>
        </w:tabs>
        <w:spacing w:after="80" w:line="305"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（三）优秀毕业生的评比。</w:t>
      </w:r>
    </w:p>
    <w:p>
      <w:pPr>
        <w:tabs>
          <w:tab w:val="left" w:pos="7087"/>
        </w:tabs>
        <w:spacing w:line="319" w:lineRule="auto"/>
        <w:ind w:firstLine="400"/>
        <w:jc w:val="both"/>
        <w:rPr>
          <w:rFonts w:ascii="宋体" w:hAnsi="宋体"/>
          <w:color w:val="auto"/>
          <w:sz w:val="18"/>
          <w:lang w:val="zh-TW" w:eastAsia="zh-TW" w:bidi="zh-TW"/>
        </w:rPr>
      </w:pPr>
      <w:bookmarkStart w:id="292" w:name="bookmark527"/>
      <w:bookmarkEnd w:id="292"/>
      <w:r>
        <w:rPr>
          <w:rFonts w:hint="eastAsia"/>
          <w:color w:val="auto"/>
          <w:lang w:val="zh-TW" w:eastAsia="zh-CN" w:bidi="zh-TW"/>
        </w:rPr>
        <w:t>1</w:t>
      </w:r>
      <w:r>
        <w:rPr>
          <w:color w:val="auto"/>
          <w:lang w:val="zh-TW" w:eastAsia="zh-TW" w:bidi="zh-TW"/>
        </w:rPr>
        <w:t>.</w:t>
      </w:r>
      <w:r>
        <w:rPr>
          <w:rFonts w:ascii="宋体" w:hAnsi="宋体"/>
          <w:color w:val="auto"/>
          <w:sz w:val="18"/>
          <w:lang w:val="zh-TW" w:eastAsia="zh-TW" w:bidi="zh-TW"/>
        </w:rPr>
        <w:t>评比比例：优秀毕业生人数不超过年级参加评比学生总数的</w:t>
      </w:r>
      <w:r>
        <w:rPr>
          <w:color w:val="auto"/>
          <w:lang w:val="zh-TW" w:eastAsia="zh-TW" w:bidi="zh-TW"/>
        </w:rPr>
        <w:t>1</w:t>
      </w:r>
      <w:r>
        <w:rPr>
          <w:rFonts w:ascii="宋体" w:hAnsi="宋体"/>
          <w:color w:val="auto"/>
          <w:sz w:val="18"/>
          <w:lang w:val="zh-TW" w:eastAsia="zh-TW" w:bidi="zh-TW"/>
        </w:rPr>
        <w:t>%</w:t>
      </w:r>
      <w:r>
        <w:rPr>
          <w:rFonts w:hint="eastAsia" w:ascii="宋体" w:hAnsi="宋体"/>
          <w:color w:val="auto"/>
          <w:sz w:val="18"/>
          <w:lang w:val="zh-TW" w:eastAsia="zh-TW" w:bidi="zh-TW"/>
        </w:rPr>
        <w:t>。</w:t>
      </w:r>
    </w:p>
    <w:p>
      <w:pPr>
        <w:tabs>
          <w:tab w:val="left" w:pos="7087"/>
        </w:tabs>
        <w:spacing w:line="319" w:lineRule="auto"/>
        <w:ind w:firstLine="400"/>
        <w:jc w:val="both"/>
        <w:rPr>
          <w:rFonts w:ascii="宋体" w:hAnsi="宋体"/>
          <w:color w:val="auto"/>
          <w:sz w:val="18"/>
          <w:lang w:val="zh-TW" w:eastAsia="zh-TW" w:bidi="zh-TW"/>
        </w:rPr>
      </w:pPr>
      <w:bookmarkStart w:id="293" w:name="bookmark528"/>
      <w:bookmarkEnd w:id="293"/>
      <w:r>
        <w:rPr>
          <w:rFonts w:hint="eastAsia"/>
          <w:color w:val="auto"/>
          <w:lang w:val="zh-TW" w:eastAsia="zh-CN" w:bidi="zh-TW"/>
        </w:rPr>
        <w:t>2</w:t>
      </w:r>
      <w:r>
        <w:rPr>
          <w:color w:val="auto"/>
          <w:lang w:val="zh-TW" w:eastAsia="zh-TW" w:bidi="zh-TW"/>
        </w:rPr>
        <w:t>.</w:t>
      </w:r>
      <w:r>
        <w:rPr>
          <w:rFonts w:ascii="宋体" w:hAnsi="宋体"/>
          <w:color w:val="auto"/>
          <w:sz w:val="18"/>
          <w:lang w:val="zh-TW" w:eastAsia="zh-TW" w:bidi="zh-TW"/>
        </w:rPr>
        <w:t>评比条件：在校历年均获三好学生（标兵）或优秀学生干部称号。</w:t>
      </w:r>
    </w:p>
    <w:p>
      <w:pPr>
        <w:tabs>
          <w:tab w:val="left" w:pos="1057"/>
        </w:tabs>
        <w:spacing w:after="80" w:line="305"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（四）优秀学生干部的评比。</w:t>
      </w:r>
    </w:p>
    <w:p>
      <w:pPr>
        <w:tabs>
          <w:tab w:val="left" w:pos="7087"/>
        </w:tabs>
        <w:spacing w:line="319" w:lineRule="auto"/>
        <w:ind w:firstLine="400"/>
        <w:jc w:val="both"/>
        <w:rPr>
          <w:rFonts w:ascii="宋体" w:hAnsi="宋体"/>
          <w:color w:val="auto"/>
          <w:sz w:val="18"/>
          <w:lang w:val="zh-TW" w:eastAsia="zh-TW" w:bidi="zh-TW"/>
        </w:rPr>
      </w:pPr>
      <w:bookmarkStart w:id="294" w:name="bookmark530"/>
      <w:bookmarkEnd w:id="294"/>
      <w:r>
        <w:rPr>
          <w:rFonts w:hint="eastAsia"/>
          <w:color w:val="auto"/>
          <w:lang w:val="zh-TW" w:eastAsia="zh-TW" w:bidi="zh-TW"/>
        </w:rPr>
        <w:t>1</w:t>
      </w:r>
      <w:r>
        <w:rPr>
          <w:color w:val="auto"/>
          <w:lang w:val="zh-TW" w:eastAsia="zh-TW" w:bidi="zh-TW"/>
        </w:rPr>
        <w:t>.</w:t>
      </w:r>
      <w:r>
        <w:rPr>
          <w:rFonts w:ascii="宋体" w:hAnsi="宋体"/>
          <w:color w:val="auto"/>
          <w:sz w:val="18"/>
          <w:lang w:val="zh-TW" w:eastAsia="zh-TW" w:bidi="zh-TW"/>
        </w:rPr>
        <w:t>评比比例：优秀学生干部人数原则上不超过各年级参加评比学生总数的</w:t>
      </w:r>
      <w:r>
        <w:rPr>
          <w:color w:val="auto"/>
          <w:lang w:val="zh-TW" w:eastAsia="zh-TW" w:bidi="zh-TW"/>
        </w:rPr>
        <w:t>5</w:t>
      </w:r>
      <w:r>
        <w:rPr>
          <w:rFonts w:ascii="宋体" w:hAnsi="宋体"/>
          <w:color w:val="auto"/>
          <w:sz w:val="18"/>
          <w:lang w:val="zh-TW" w:eastAsia="zh-TW" w:bidi="zh-TW"/>
        </w:rPr>
        <w:t>%</w:t>
      </w:r>
      <w:r>
        <w:rPr>
          <w:rFonts w:hint="eastAsia" w:ascii="宋体" w:hAnsi="宋体"/>
          <w:color w:val="auto"/>
          <w:sz w:val="18"/>
          <w:lang w:val="zh-TW" w:eastAsia="zh-TW" w:bidi="zh-TW"/>
        </w:rPr>
        <w:t>。</w:t>
      </w:r>
      <w:r>
        <w:rPr>
          <w:rFonts w:ascii="宋体" w:hAnsi="宋体"/>
          <w:color w:val="auto"/>
          <w:sz w:val="18"/>
          <w:lang w:val="zh-TW" w:eastAsia="zh-TW" w:bidi="zh-TW"/>
        </w:rPr>
        <w:t>班级内的学生干部由辅导员向所在学院推荐</w:t>
      </w:r>
      <w:r>
        <w:rPr>
          <w:rFonts w:hint="eastAsia" w:ascii="宋体" w:hAnsi="宋体"/>
          <w:color w:val="auto"/>
          <w:sz w:val="18"/>
          <w:lang w:val="zh-TW" w:eastAsia="zh-TW" w:bidi="zh-TW"/>
        </w:rPr>
        <w:t>，</w:t>
      </w:r>
      <w:r>
        <w:rPr>
          <w:rFonts w:ascii="宋体" w:hAnsi="宋体"/>
          <w:color w:val="auto"/>
          <w:sz w:val="18"/>
          <w:lang w:val="zh-TW" w:eastAsia="zh-TW" w:bidi="zh-TW"/>
        </w:rPr>
        <w:t>在中心组</w:t>
      </w:r>
      <w:r>
        <w:rPr>
          <w:rFonts w:hint="eastAsia" w:ascii="宋体" w:hAnsi="宋体"/>
          <w:color w:val="auto"/>
          <w:sz w:val="18"/>
          <w:lang w:val="zh-TW" w:eastAsia="zh-TW" w:bidi="zh-TW"/>
        </w:rPr>
        <w:t>、</w:t>
      </w:r>
      <w:r>
        <w:rPr>
          <w:rFonts w:ascii="宋体" w:hAnsi="宋体"/>
          <w:color w:val="auto"/>
          <w:sz w:val="18"/>
          <w:lang w:val="zh-TW" w:eastAsia="zh-TW" w:bidi="zh-TW"/>
        </w:rPr>
        <w:t>校级学生群众组织工作的学生干部</w:t>
      </w:r>
      <w:r>
        <w:rPr>
          <w:rFonts w:hint="eastAsia" w:ascii="宋体" w:hAnsi="宋体"/>
          <w:color w:val="auto"/>
          <w:sz w:val="18"/>
          <w:lang w:val="zh-TW" w:eastAsia="zh-TW" w:bidi="zh-TW"/>
        </w:rPr>
        <w:t>，</w:t>
      </w:r>
      <w:r>
        <w:rPr>
          <w:rFonts w:ascii="宋体" w:hAnsi="宋体"/>
          <w:color w:val="auto"/>
          <w:sz w:val="18"/>
          <w:lang w:val="zh-TW" w:eastAsia="zh-TW" w:bidi="zh-TW"/>
        </w:rPr>
        <w:t>分别由年级组</w:t>
      </w:r>
      <w:r>
        <w:rPr>
          <w:rFonts w:hint="eastAsia" w:ascii="宋体" w:hAnsi="宋体"/>
          <w:color w:val="auto"/>
          <w:sz w:val="18"/>
          <w:lang w:val="zh-TW" w:eastAsia="zh-TW" w:bidi="zh-TW"/>
        </w:rPr>
        <w:t>、</w:t>
      </w:r>
      <w:r>
        <w:rPr>
          <w:rFonts w:ascii="宋体" w:hAnsi="宋体"/>
          <w:color w:val="auto"/>
          <w:sz w:val="18"/>
          <w:lang w:val="zh-TW" w:eastAsia="zh-TW" w:bidi="zh-TW"/>
        </w:rPr>
        <w:t>校团委向各学院推荐</w:t>
      </w:r>
      <w:r>
        <w:rPr>
          <w:rFonts w:hint="eastAsia" w:ascii="宋体" w:hAnsi="宋体"/>
          <w:color w:val="auto"/>
          <w:sz w:val="18"/>
          <w:lang w:val="zh-TW" w:eastAsia="zh-TW" w:bidi="zh-TW"/>
        </w:rPr>
        <w:t>，</w:t>
      </w:r>
      <w:r>
        <w:rPr>
          <w:rFonts w:ascii="宋体" w:hAnsi="宋体"/>
          <w:color w:val="auto"/>
          <w:sz w:val="18"/>
          <w:lang w:val="zh-TW" w:eastAsia="zh-TW" w:bidi="zh-TW"/>
        </w:rPr>
        <w:t>各学院在评比时要充分考核被推荐的名单</w:t>
      </w:r>
      <w:r>
        <w:rPr>
          <w:rFonts w:hint="eastAsia" w:ascii="宋体" w:hAnsi="宋体"/>
          <w:color w:val="auto"/>
          <w:sz w:val="18"/>
          <w:lang w:val="zh-TW" w:eastAsia="zh-TW" w:bidi="zh-TW"/>
        </w:rPr>
        <w:t>。</w:t>
      </w:r>
    </w:p>
    <w:p>
      <w:pPr>
        <w:tabs>
          <w:tab w:val="left" w:pos="7087"/>
        </w:tabs>
        <w:spacing w:line="319" w:lineRule="auto"/>
        <w:ind w:firstLine="400"/>
        <w:jc w:val="both"/>
        <w:rPr>
          <w:rFonts w:ascii="宋体" w:hAnsi="宋体"/>
          <w:color w:val="auto"/>
          <w:sz w:val="18"/>
          <w:lang w:val="zh-TW" w:eastAsia="zh-CN" w:bidi="zh-TW"/>
        </w:rPr>
      </w:pPr>
      <w:bookmarkStart w:id="295" w:name="bookmark531"/>
      <w:bookmarkEnd w:id="295"/>
      <w:r>
        <w:rPr>
          <w:rFonts w:hint="eastAsia" w:eastAsia="等线"/>
          <w:color w:val="auto"/>
          <w:lang w:val="zh-TW" w:eastAsia="zh-CN" w:bidi="zh-TW"/>
        </w:rPr>
        <w:t>2</w:t>
      </w:r>
      <w:r>
        <w:rPr>
          <w:rFonts w:eastAsia="PMingLiU"/>
          <w:color w:val="auto"/>
          <w:lang w:val="zh-TW" w:eastAsia="zh-TW" w:bidi="zh-TW"/>
        </w:rPr>
        <w:t>.</w:t>
      </w:r>
      <w:r>
        <w:rPr>
          <w:rFonts w:ascii="宋体" w:hAnsi="宋体"/>
          <w:color w:val="auto"/>
          <w:sz w:val="18"/>
          <w:lang w:val="zh-TW" w:eastAsia="zh-TW" w:bidi="zh-TW"/>
        </w:rPr>
        <w:t>评比条件</w:t>
      </w:r>
      <w:r>
        <w:rPr>
          <w:rFonts w:hint="eastAsia" w:ascii="宋体" w:hAnsi="宋体"/>
          <w:color w:val="auto"/>
          <w:sz w:val="18"/>
          <w:lang w:val="zh-TW" w:eastAsia="zh-TW" w:bidi="zh-TW"/>
        </w:rPr>
        <w:t>：</w:t>
      </w:r>
    </w:p>
    <w:p>
      <w:pPr>
        <w:tabs>
          <w:tab w:val="left" w:pos="951"/>
        </w:tabs>
        <w:spacing w:line="319" w:lineRule="auto"/>
        <w:ind w:firstLine="420"/>
        <w:jc w:val="both"/>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参照三好学生评比条件；</w:t>
      </w:r>
    </w:p>
    <w:p>
      <w:pPr>
        <w:tabs>
          <w:tab w:val="left" w:pos="944"/>
        </w:tabs>
        <w:spacing w:line="264"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color w:val="auto"/>
          <w:szCs w:val="20"/>
          <w:lang w:val="zh-TW" w:eastAsia="zh-TW" w:bidi="zh-TW"/>
        </w:rPr>
        <w:t>2</w:t>
      </w:r>
      <w:r>
        <w:rPr>
          <w:rFonts w:ascii="宋体" w:hAnsi="宋体"/>
          <w:color w:val="auto"/>
          <w:sz w:val="18"/>
          <w:lang w:val="zh-TW" w:eastAsia="zh-TW" w:bidi="zh-TW"/>
        </w:rPr>
        <w:t>）热心为广大同学服务，工作能力较强，在建设良好校风、班风、学风活动中成绩显著，在同学中享有较高威望；</w:t>
      </w:r>
    </w:p>
    <w:p>
      <w:pPr>
        <w:tabs>
          <w:tab w:val="left" w:pos="951"/>
        </w:tabs>
        <w:spacing w:line="310" w:lineRule="exact"/>
        <w:ind w:firstLine="42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3</w:t>
      </w:r>
      <w:r>
        <w:rPr>
          <w:rFonts w:ascii="宋体" w:hAnsi="宋体"/>
          <w:color w:val="auto"/>
          <w:sz w:val="18"/>
          <w:szCs w:val="20"/>
          <w:lang w:val="zh-TW" w:eastAsia="zh-TW" w:bidi="zh-TW"/>
        </w:rPr>
        <w:t>）</w:t>
      </w:r>
      <w:r>
        <w:rPr>
          <w:rFonts w:ascii="宋体" w:hAnsi="宋体"/>
          <w:color w:val="auto"/>
          <w:sz w:val="18"/>
          <w:lang w:val="zh-TW" w:eastAsia="zh-TW" w:bidi="zh-TW"/>
        </w:rPr>
        <w:t>社会工作中顾全大局，服从学校统一领导。</w:t>
      </w:r>
    </w:p>
    <w:p>
      <w:pPr>
        <w:spacing w:line="310" w:lineRule="exact"/>
        <w:ind w:firstLine="420"/>
        <w:jc w:val="both"/>
        <w:rPr>
          <w:rFonts w:ascii="宋体" w:hAnsi="宋体"/>
          <w:color w:val="auto"/>
          <w:sz w:val="18"/>
          <w:lang w:val="zh-TW" w:eastAsia="zh-TW" w:bidi="zh-TW"/>
        </w:rPr>
      </w:pPr>
      <w:r>
        <w:rPr>
          <w:rFonts w:ascii="宋体" w:hAnsi="宋体"/>
          <w:color w:val="auto"/>
          <w:sz w:val="18"/>
          <w:lang w:val="zh-TW" w:eastAsia="zh-TW" w:bidi="zh-TW"/>
        </w:rPr>
        <w:t>注：</w:t>
      </w:r>
      <w:r>
        <w:rPr>
          <w:rFonts w:ascii="宋体" w:hAnsi="宋体"/>
          <w:color w:val="auto"/>
          <w:sz w:val="18"/>
          <w:lang w:val="zh-CN" w:eastAsia="zh-CN" w:bidi="zh-CN"/>
        </w:rPr>
        <w:t>“优</w:t>
      </w:r>
      <w:r>
        <w:rPr>
          <w:rFonts w:ascii="宋体" w:hAnsi="宋体"/>
          <w:color w:val="auto"/>
          <w:sz w:val="18"/>
          <w:lang w:val="zh-TW" w:eastAsia="zh-TW" w:bidi="zh-TW"/>
        </w:rPr>
        <w:t>秀学生干部</w:t>
      </w:r>
      <w:r>
        <w:rPr>
          <w:rFonts w:hint="eastAsia" w:ascii="宋体" w:hAnsi="宋体"/>
          <w:color w:val="auto"/>
          <w:sz w:val="18"/>
          <w:lang w:val="zh-TW" w:eastAsia="zh-CN" w:bidi="zh-TW"/>
        </w:rPr>
        <w:t>”</w:t>
      </w:r>
      <w:r>
        <w:rPr>
          <w:rFonts w:ascii="宋体" w:hAnsi="宋体"/>
          <w:color w:val="auto"/>
          <w:sz w:val="18"/>
          <w:lang w:val="zh-TW" w:eastAsia="zh-TW" w:bidi="zh-TW"/>
        </w:rPr>
        <w:t>称号与</w:t>
      </w:r>
      <w:r>
        <w:rPr>
          <w:rFonts w:ascii="宋体" w:hAnsi="宋体"/>
          <w:color w:val="auto"/>
          <w:sz w:val="18"/>
          <w:lang w:val="zh-CN" w:eastAsia="zh-CN" w:bidi="zh-CN"/>
        </w:rPr>
        <w:t>“三好</w:t>
      </w:r>
      <w:r>
        <w:rPr>
          <w:rFonts w:ascii="宋体" w:hAnsi="宋体"/>
          <w:color w:val="auto"/>
          <w:sz w:val="18"/>
          <w:lang w:val="zh-TW" w:eastAsia="zh-TW" w:bidi="zh-TW"/>
        </w:rPr>
        <w:t>学生</w:t>
      </w:r>
      <w:r>
        <w:rPr>
          <w:rFonts w:hint="eastAsia" w:ascii="宋体" w:hAnsi="宋体"/>
          <w:color w:val="auto"/>
          <w:sz w:val="18"/>
          <w:lang w:val="zh-TW" w:eastAsia="zh-CN" w:bidi="zh-TW"/>
        </w:rPr>
        <w:t>”</w:t>
      </w:r>
      <w:r>
        <w:rPr>
          <w:rFonts w:ascii="宋体" w:hAnsi="宋体"/>
          <w:color w:val="auto"/>
          <w:sz w:val="18"/>
          <w:lang w:val="zh-TW" w:eastAsia="zh-TW" w:bidi="zh-TW"/>
        </w:rPr>
        <w:t>称号可兼得。</w:t>
      </w:r>
    </w:p>
    <w:p>
      <w:pPr>
        <w:tabs>
          <w:tab w:val="left" w:pos="1057"/>
        </w:tabs>
        <w:spacing w:after="80" w:line="310" w:lineRule="exact"/>
        <w:ind w:left="420"/>
        <w:jc w:val="both"/>
        <w:rPr>
          <w:rFonts w:ascii="宋体" w:hAnsi="宋体"/>
          <w:color w:val="auto"/>
          <w:sz w:val="18"/>
          <w:lang w:val="zh-TW" w:eastAsia="zh-TW" w:bidi="zh-TW"/>
        </w:rPr>
      </w:pPr>
      <w:r>
        <w:rPr>
          <w:rFonts w:hint="eastAsia" w:ascii="宋体" w:hAnsi="宋体"/>
          <w:color w:val="auto"/>
          <w:sz w:val="18"/>
          <w:lang w:eastAsia="zh-CN" w:bidi="zh-TW"/>
        </w:rPr>
        <w:t>(五）</w:t>
      </w:r>
      <w:r>
        <w:rPr>
          <w:rFonts w:ascii="宋体" w:hAnsi="宋体"/>
          <w:color w:val="auto"/>
          <w:sz w:val="18"/>
          <w:lang w:val="zh-TW" w:eastAsia="zh-TW" w:bidi="zh-TW"/>
        </w:rPr>
        <w:t>优秀宿舍长的评比。</w:t>
      </w:r>
    </w:p>
    <w:p>
      <w:pPr>
        <w:tabs>
          <w:tab w:val="left" w:pos="745"/>
        </w:tabs>
        <w:spacing w:line="324" w:lineRule="auto"/>
        <w:ind w:left="420"/>
        <w:jc w:val="both"/>
        <w:rPr>
          <w:rFonts w:ascii="宋体" w:hAnsi="宋体"/>
          <w:color w:val="auto"/>
          <w:sz w:val="18"/>
          <w:lang w:val="zh-TW" w:eastAsia="zh-TW" w:bidi="zh-TW"/>
        </w:rPr>
      </w:pPr>
      <w:bookmarkStart w:id="296" w:name="bookmark536"/>
      <w:bookmarkEnd w:id="296"/>
      <w:r>
        <w:rPr>
          <w:rFonts w:hint="eastAsia" w:eastAsia="等线"/>
          <w:color w:val="auto"/>
          <w:lang w:val="zh-TW" w:eastAsia="zh-CN" w:bidi="zh-TW"/>
        </w:rPr>
        <w:t>1.</w:t>
      </w:r>
      <w:r>
        <w:rPr>
          <w:rFonts w:ascii="宋体" w:hAnsi="宋体"/>
          <w:color w:val="auto"/>
          <w:sz w:val="18"/>
          <w:lang w:val="zh-TW" w:eastAsia="zh-TW" w:bidi="zh-TW"/>
        </w:rPr>
        <w:t>评比比例：全校评选</w:t>
      </w:r>
      <w:r>
        <w:rPr>
          <w:color w:val="auto"/>
          <w:szCs w:val="20"/>
          <w:lang w:val="zh-TW" w:eastAsia="zh-TW" w:bidi="zh-TW"/>
        </w:rPr>
        <w:t>80</w:t>
      </w:r>
      <w:r>
        <w:rPr>
          <w:rFonts w:ascii="宋体" w:hAnsi="宋体"/>
          <w:color w:val="auto"/>
          <w:sz w:val="18"/>
          <w:lang w:val="zh-TW" w:eastAsia="zh-TW" w:bidi="zh-TW"/>
        </w:rPr>
        <w:t>个。</w:t>
      </w:r>
    </w:p>
    <w:p>
      <w:pPr>
        <w:tabs>
          <w:tab w:val="left" w:pos="764"/>
        </w:tabs>
        <w:spacing w:line="324" w:lineRule="auto"/>
        <w:ind w:left="420"/>
        <w:jc w:val="both"/>
        <w:rPr>
          <w:rFonts w:ascii="宋体" w:hAnsi="宋体"/>
          <w:color w:val="auto"/>
          <w:sz w:val="18"/>
          <w:lang w:val="zh-TW" w:eastAsia="zh-TW" w:bidi="zh-TW"/>
        </w:rPr>
      </w:pPr>
      <w:bookmarkStart w:id="297" w:name="bookmark537"/>
      <w:bookmarkEnd w:id="297"/>
      <w:r>
        <w:rPr>
          <w:rFonts w:hint="eastAsia" w:eastAsia="等线"/>
          <w:color w:val="auto"/>
          <w:lang w:val="zh-TW" w:eastAsia="zh-CN" w:bidi="zh-TW"/>
        </w:rPr>
        <w:t>2</w:t>
      </w:r>
      <w:r>
        <w:rPr>
          <w:rFonts w:eastAsia="PMingLiU"/>
          <w:color w:val="auto"/>
          <w:lang w:val="zh-TW" w:eastAsia="zh-TW" w:bidi="zh-TW"/>
        </w:rPr>
        <w:t>.</w:t>
      </w:r>
      <w:r>
        <w:rPr>
          <w:rFonts w:ascii="宋体" w:hAnsi="宋体"/>
          <w:color w:val="auto"/>
          <w:sz w:val="18"/>
          <w:lang w:val="zh-TW" w:eastAsia="zh-TW" w:bidi="zh-TW"/>
        </w:rPr>
        <w:t>评比条件：</w:t>
      </w:r>
    </w:p>
    <w:p>
      <w:pPr>
        <w:tabs>
          <w:tab w:val="left" w:pos="939"/>
        </w:tabs>
        <w:spacing w:line="310" w:lineRule="exact"/>
        <w:ind w:firstLine="420"/>
        <w:jc w:val="both"/>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工作积极主动、认真负责，带领宿舍成员做好宿舍的各项工作，积极配合辅导员和宿舍管理员等开展工作。</w:t>
      </w:r>
    </w:p>
    <w:p>
      <w:pPr>
        <w:tabs>
          <w:tab w:val="left" w:pos="951"/>
        </w:tabs>
        <w:spacing w:line="310" w:lineRule="exact"/>
        <w:ind w:firstLine="42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2</w:t>
      </w:r>
      <w:r>
        <w:rPr>
          <w:rFonts w:ascii="宋体" w:hAnsi="宋体"/>
          <w:color w:val="auto"/>
          <w:sz w:val="18"/>
          <w:szCs w:val="20"/>
          <w:lang w:val="zh-TW" w:eastAsia="zh-TW" w:bidi="zh-TW"/>
        </w:rPr>
        <w:t>）</w:t>
      </w:r>
      <w:r>
        <w:rPr>
          <w:rFonts w:ascii="宋体" w:hAnsi="宋体"/>
          <w:color w:val="auto"/>
          <w:sz w:val="18"/>
          <w:lang w:val="zh-TW" w:eastAsia="zh-TW" w:bidi="zh-TW"/>
        </w:rPr>
        <w:t>所在宿舍被评为</w:t>
      </w:r>
      <w:r>
        <w:rPr>
          <w:rFonts w:ascii="宋体" w:hAnsi="宋体"/>
          <w:color w:val="auto"/>
          <w:sz w:val="18"/>
          <w:lang w:val="zh-CN" w:eastAsia="zh-CN" w:bidi="zh-CN"/>
        </w:rPr>
        <w:t>“优良</w:t>
      </w:r>
      <w:r>
        <w:rPr>
          <w:rFonts w:ascii="宋体" w:hAnsi="宋体"/>
          <w:color w:val="auto"/>
          <w:sz w:val="18"/>
          <w:lang w:val="zh-TW" w:eastAsia="zh-TW" w:bidi="zh-TW"/>
        </w:rPr>
        <w:t>学风标兵宿舍</w:t>
      </w:r>
      <w:r>
        <w:rPr>
          <w:rFonts w:hint="eastAsia" w:ascii="宋体" w:hAnsi="宋体"/>
          <w:color w:val="auto"/>
          <w:sz w:val="18"/>
          <w:lang w:val="zh-TW" w:eastAsia="zh-CN" w:bidi="zh-TW"/>
        </w:rPr>
        <w:t>”</w:t>
      </w:r>
      <w:r>
        <w:rPr>
          <w:rFonts w:ascii="宋体" w:hAnsi="宋体"/>
          <w:color w:val="auto"/>
          <w:sz w:val="18"/>
          <w:lang w:val="zh-TW" w:eastAsia="zh-TW" w:bidi="zh-TW"/>
        </w:rPr>
        <w:t>或</w:t>
      </w:r>
      <w:r>
        <w:rPr>
          <w:rFonts w:ascii="宋体" w:hAnsi="宋体"/>
          <w:color w:val="auto"/>
          <w:sz w:val="18"/>
          <w:lang w:val="zh-CN" w:eastAsia="zh-CN" w:bidi="zh-CN"/>
        </w:rPr>
        <w:t>“文明</w:t>
      </w:r>
      <w:r>
        <w:rPr>
          <w:rFonts w:ascii="宋体" w:hAnsi="宋体"/>
          <w:color w:val="auto"/>
          <w:sz w:val="18"/>
          <w:lang w:val="zh-TW" w:eastAsia="zh-TW" w:bidi="zh-TW"/>
        </w:rPr>
        <w:t>宿舍”。</w:t>
      </w:r>
    </w:p>
    <w:p>
      <w:pPr>
        <w:tabs>
          <w:tab w:val="left" w:pos="951"/>
        </w:tabs>
        <w:spacing w:line="310" w:lineRule="exact"/>
        <w:ind w:firstLine="42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3</w:t>
      </w:r>
      <w:r>
        <w:rPr>
          <w:rFonts w:ascii="宋体" w:hAnsi="宋体"/>
          <w:color w:val="auto"/>
          <w:sz w:val="18"/>
          <w:szCs w:val="20"/>
          <w:lang w:val="zh-TW" w:eastAsia="zh-TW" w:bidi="zh-TW"/>
        </w:rPr>
        <w:t>）</w:t>
      </w:r>
      <w:r>
        <w:rPr>
          <w:rFonts w:ascii="宋体" w:hAnsi="宋体"/>
          <w:color w:val="auto"/>
          <w:sz w:val="18"/>
          <w:lang w:val="zh-TW" w:eastAsia="zh-TW" w:bidi="zh-TW"/>
        </w:rPr>
        <w:t>无违纪行为。</w:t>
      </w:r>
    </w:p>
    <w:p>
      <w:pPr>
        <w:tabs>
          <w:tab w:val="left" w:pos="1057"/>
        </w:tabs>
        <w:spacing w:after="80" w:line="310" w:lineRule="exact"/>
        <w:ind w:left="420"/>
        <w:jc w:val="both"/>
        <w:rPr>
          <w:rFonts w:ascii="宋体" w:hAnsi="宋体"/>
          <w:color w:val="auto"/>
          <w:sz w:val="18"/>
          <w:lang w:val="zh-TW" w:eastAsia="zh-TW" w:bidi="zh-TW"/>
        </w:rPr>
      </w:pPr>
      <w:r>
        <w:rPr>
          <w:rFonts w:hint="eastAsia" w:ascii="宋体" w:hAnsi="宋体"/>
          <w:color w:val="auto"/>
          <w:sz w:val="18"/>
          <w:lang w:eastAsia="zh-CN" w:bidi="zh-TW"/>
        </w:rPr>
        <w:t>(六）</w:t>
      </w:r>
      <w:r>
        <w:rPr>
          <w:rFonts w:ascii="宋体" w:hAnsi="宋体"/>
          <w:color w:val="auto"/>
          <w:sz w:val="18"/>
          <w:lang w:val="zh-TW" w:eastAsia="zh-TW" w:bidi="zh-TW"/>
        </w:rPr>
        <w:t>文明宿舍的评比。</w:t>
      </w:r>
    </w:p>
    <w:p>
      <w:pPr>
        <w:tabs>
          <w:tab w:val="left" w:pos="745"/>
        </w:tabs>
        <w:spacing w:line="324" w:lineRule="auto"/>
        <w:ind w:left="420"/>
        <w:jc w:val="both"/>
        <w:rPr>
          <w:rFonts w:ascii="宋体" w:hAnsi="宋体"/>
          <w:color w:val="auto"/>
          <w:sz w:val="18"/>
          <w:lang w:val="zh-TW" w:eastAsia="zh-TW" w:bidi="zh-TW"/>
        </w:rPr>
      </w:pPr>
      <w:bookmarkStart w:id="298" w:name="bookmark542"/>
      <w:bookmarkEnd w:id="298"/>
      <w:r>
        <w:rPr>
          <w:rFonts w:hint="eastAsia" w:eastAsia="等线"/>
          <w:color w:val="auto"/>
          <w:lang w:val="zh-TW" w:eastAsia="zh-CN" w:bidi="zh-TW"/>
        </w:rPr>
        <w:t>1.</w:t>
      </w:r>
      <w:r>
        <w:rPr>
          <w:rFonts w:ascii="宋体" w:hAnsi="宋体"/>
          <w:color w:val="auto"/>
          <w:sz w:val="18"/>
          <w:lang w:val="zh-TW" w:eastAsia="zh-TW" w:bidi="zh-TW"/>
        </w:rPr>
        <w:t>评比比例：全校评选</w:t>
      </w:r>
      <w:r>
        <w:rPr>
          <w:color w:val="auto"/>
          <w:szCs w:val="20"/>
          <w:lang w:val="zh-TW" w:eastAsia="zh-TW" w:bidi="zh-TW"/>
        </w:rPr>
        <w:t>150</w:t>
      </w:r>
      <w:r>
        <w:rPr>
          <w:rFonts w:ascii="宋体" w:hAnsi="宋体"/>
          <w:color w:val="auto"/>
          <w:sz w:val="18"/>
          <w:lang w:val="zh-TW" w:eastAsia="zh-TW" w:bidi="zh-TW"/>
        </w:rPr>
        <w:t>个。</w:t>
      </w:r>
    </w:p>
    <w:p>
      <w:pPr>
        <w:tabs>
          <w:tab w:val="left" w:pos="764"/>
        </w:tabs>
        <w:spacing w:line="324" w:lineRule="auto"/>
        <w:ind w:firstLine="400"/>
        <w:jc w:val="both"/>
        <w:rPr>
          <w:rFonts w:ascii="宋体" w:hAnsi="宋体"/>
          <w:color w:val="auto"/>
          <w:sz w:val="18"/>
          <w:lang w:val="zh-TW" w:eastAsia="zh-TW" w:bidi="zh-TW"/>
        </w:rPr>
      </w:pPr>
      <w:bookmarkStart w:id="299" w:name="bookmark543"/>
      <w:bookmarkEnd w:id="299"/>
      <w:r>
        <w:rPr>
          <w:rFonts w:hint="eastAsia" w:eastAsia="等线"/>
          <w:color w:val="auto"/>
          <w:lang w:val="zh-TW" w:eastAsia="zh-CN" w:bidi="zh-TW"/>
        </w:rPr>
        <w:t>2</w:t>
      </w:r>
      <w:r>
        <w:rPr>
          <w:rFonts w:eastAsia="PMingLiU"/>
          <w:color w:val="auto"/>
          <w:lang w:val="zh-TW" w:eastAsia="zh-TW" w:bidi="zh-TW"/>
        </w:rPr>
        <w:t>.</w:t>
      </w:r>
      <w:r>
        <w:rPr>
          <w:rFonts w:ascii="宋体" w:hAnsi="宋体"/>
          <w:color w:val="auto"/>
          <w:sz w:val="18"/>
          <w:lang w:val="zh-TW" w:eastAsia="zh-TW" w:bidi="zh-TW"/>
        </w:rPr>
        <w:t>评比条件：</w:t>
      </w:r>
    </w:p>
    <w:p>
      <w:pPr>
        <w:tabs>
          <w:tab w:val="left" w:pos="951"/>
        </w:tabs>
        <w:spacing w:line="324" w:lineRule="auto"/>
        <w:ind w:firstLine="420"/>
        <w:jc w:val="both"/>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申报学校文明宿舍、优良学风标兵宿舍的创建活动；</w:t>
      </w:r>
    </w:p>
    <w:p>
      <w:pPr>
        <w:tabs>
          <w:tab w:val="left" w:pos="951"/>
        </w:tabs>
        <w:spacing w:line="310" w:lineRule="exact"/>
        <w:ind w:firstLine="42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2</w:t>
      </w:r>
      <w:r>
        <w:rPr>
          <w:rFonts w:ascii="宋体" w:hAnsi="宋体"/>
          <w:color w:val="auto"/>
          <w:sz w:val="18"/>
          <w:szCs w:val="20"/>
          <w:lang w:val="zh-TW" w:eastAsia="zh-TW" w:bidi="zh-TW"/>
        </w:rPr>
        <w:t>）</w:t>
      </w:r>
      <w:r>
        <w:rPr>
          <w:rFonts w:ascii="宋体" w:hAnsi="宋体"/>
          <w:color w:val="auto"/>
          <w:sz w:val="18"/>
          <w:lang w:val="zh-TW" w:eastAsia="zh-TW" w:bidi="zh-TW"/>
        </w:rPr>
        <w:t>宿舍成员讲文明礼貌、宿舍卫生优秀、成员无违纪现象、学习成绩优良。</w:t>
      </w:r>
    </w:p>
    <w:p>
      <w:pPr>
        <w:tabs>
          <w:tab w:val="left" w:pos="1057"/>
        </w:tabs>
        <w:spacing w:after="80" w:line="310" w:lineRule="exact"/>
        <w:ind w:left="420"/>
        <w:jc w:val="both"/>
        <w:rPr>
          <w:rFonts w:ascii="宋体" w:hAnsi="宋体"/>
          <w:color w:val="auto"/>
          <w:sz w:val="18"/>
          <w:lang w:val="zh-TW" w:eastAsia="zh-TW" w:bidi="zh-TW"/>
        </w:rPr>
      </w:pPr>
      <w:r>
        <w:rPr>
          <w:rFonts w:hint="eastAsia" w:ascii="宋体" w:hAnsi="宋体"/>
          <w:color w:val="auto"/>
          <w:sz w:val="18"/>
          <w:lang w:eastAsia="zh-CN" w:bidi="zh-TW"/>
        </w:rPr>
        <w:t>(七）</w:t>
      </w:r>
      <w:r>
        <w:rPr>
          <w:rFonts w:ascii="宋体" w:hAnsi="宋体"/>
          <w:color w:val="auto"/>
          <w:sz w:val="18"/>
          <w:lang w:val="zh-TW" w:eastAsia="zh-TW" w:bidi="zh-TW"/>
        </w:rPr>
        <w:t>优良学风标兵宿舍的评比。</w:t>
      </w:r>
    </w:p>
    <w:p>
      <w:pPr>
        <w:tabs>
          <w:tab w:val="left" w:pos="745"/>
        </w:tabs>
        <w:spacing w:line="324" w:lineRule="auto"/>
        <w:ind w:left="420"/>
        <w:jc w:val="both"/>
        <w:rPr>
          <w:rFonts w:ascii="宋体" w:hAnsi="宋体"/>
          <w:color w:val="auto"/>
          <w:sz w:val="18"/>
          <w:lang w:val="zh-TW" w:eastAsia="zh-TW" w:bidi="zh-TW"/>
        </w:rPr>
      </w:pPr>
      <w:bookmarkStart w:id="300" w:name="bookmark547"/>
      <w:bookmarkEnd w:id="300"/>
      <w:r>
        <w:rPr>
          <w:rFonts w:hint="eastAsia" w:eastAsia="等线"/>
          <w:color w:val="auto"/>
          <w:lang w:val="zh-TW" w:eastAsia="zh-CN" w:bidi="zh-TW"/>
        </w:rPr>
        <w:t>1.</w:t>
      </w:r>
      <w:r>
        <w:rPr>
          <w:rFonts w:ascii="宋体" w:hAnsi="宋体"/>
          <w:color w:val="auto"/>
          <w:sz w:val="18"/>
          <w:lang w:val="zh-TW" w:eastAsia="zh-TW" w:bidi="zh-TW"/>
        </w:rPr>
        <w:t>评比比例：全校评选</w:t>
      </w:r>
      <w:r>
        <w:rPr>
          <w:color w:val="auto"/>
          <w:szCs w:val="20"/>
          <w:lang w:val="zh-TW" w:eastAsia="zh-TW" w:bidi="zh-TW"/>
        </w:rPr>
        <w:t>30</w:t>
      </w:r>
      <w:r>
        <w:rPr>
          <w:rFonts w:ascii="宋体" w:hAnsi="宋体"/>
          <w:color w:val="auto"/>
          <w:sz w:val="18"/>
          <w:lang w:val="zh-TW" w:eastAsia="zh-TW" w:bidi="zh-TW"/>
        </w:rPr>
        <w:t>个。</w:t>
      </w:r>
    </w:p>
    <w:p>
      <w:pPr>
        <w:tabs>
          <w:tab w:val="left" w:pos="764"/>
        </w:tabs>
        <w:spacing w:line="324" w:lineRule="auto"/>
        <w:ind w:firstLine="400"/>
        <w:jc w:val="both"/>
        <w:rPr>
          <w:rFonts w:ascii="宋体" w:hAnsi="宋体"/>
          <w:color w:val="auto"/>
          <w:sz w:val="18"/>
          <w:lang w:val="zh-TW" w:eastAsia="zh-TW" w:bidi="zh-TW"/>
        </w:rPr>
      </w:pPr>
      <w:bookmarkStart w:id="301" w:name="bookmark548"/>
      <w:bookmarkEnd w:id="301"/>
      <w:r>
        <w:rPr>
          <w:rFonts w:hint="eastAsia" w:eastAsia="等线"/>
          <w:color w:val="auto"/>
          <w:lang w:val="zh-TW" w:eastAsia="zh-CN" w:bidi="zh-TW"/>
        </w:rPr>
        <w:t>2</w:t>
      </w:r>
      <w:r>
        <w:rPr>
          <w:rFonts w:eastAsia="PMingLiU"/>
          <w:color w:val="auto"/>
          <w:lang w:val="zh-TW" w:eastAsia="zh-TW" w:bidi="zh-TW"/>
        </w:rPr>
        <w:t>.</w:t>
      </w:r>
      <w:r>
        <w:rPr>
          <w:rFonts w:ascii="宋体" w:hAnsi="宋体"/>
          <w:color w:val="auto"/>
          <w:sz w:val="18"/>
          <w:lang w:val="zh-TW" w:eastAsia="zh-TW" w:bidi="zh-TW"/>
        </w:rPr>
        <w:t>评比条件：</w:t>
      </w:r>
    </w:p>
    <w:p>
      <w:pPr>
        <w:tabs>
          <w:tab w:val="left" w:pos="951"/>
        </w:tabs>
        <w:spacing w:line="324" w:lineRule="auto"/>
        <w:ind w:firstLine="360" w:firstLineChars="200"/>
        <w:jc w:val="both"/>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1</w:t>
      </w:r>
      <w:r>
        <w:rPr>
          <w:rFonts w:hint="eastAsia"/>
          <w:color w:val="auto"/>
          <w:sz w:val="18"/>
          <w:szCs w:val="20"/>
          <w:lang w:val="zh-TW" w:eastAsia="zh-CN" w:bidi="zh-TW"/>
        </w:rPr>
        <w:t>）</w:t>
      </w:r>
      <w:r>
        <w:rPr>
          <w:rFonts w:ascii="宋体" w:hAnsi="宋体"/>
          <w:color w:val="auto"/>
          <w:sz w:val="18"/>
          <w:lang w:val="zh-TW" w:eastAsia="zh-TW" w:bidi="zh-TW"/>
        </w:rPr>
        <w:t>符合</w:t>
      </w:r>
      <w:r>
        <w:rPr>
          <w:rFonts w:ascii="宋体" w:hAnsi="宋体"/>
          <w:color w:val="auto"/>
          <w:sz w:val="18"/>
          <w:lang w:val="zh-CN" w:eastAsia="zh-CN" w:bidi="zh-CN"/>
        </w:rPr>
        <w:t>“文明</w:t>
      </w:r>
      <w:r>
        <w:rPr>
          <w:rFonts w:ascii="宋体" w:hAnsi="宋体"/>
          <w:color w:val="auto"/>
          <w:sz w:val="18"/>
          <w:lang w:val="zh-TW" w:eastAsia="zh-TW" w:bidi="zh-TW"/>
        </w:rPr>
        <w:t>宿舍”的评选条件，从文明宿舍中产生。</w:t>
      </w:r>
    </w:p>
    <w:p>
      <w:pPr>
        <w:tabs>
          <w:tab w:val="left" w:pos="944"/>
        </w:tabs>
        <w:spacing w:line="310" w:lineRule="exact"/>
        <w:ind w:firstLine="360" w:firstLineChars="200"/>
        <w:jc w:val="both"/>
        <w:rPr>
          <w:rFonts w:ascii="宋体" w:hAnsi="宋体"/>
          <w:color w:val="auto"/>
          <w:sz w:val="18"/>
          <w:lang w:val="zh-TW" w:eastAsia="zh-TW" w:bidi="zh-TW"/>
        </w:rPr>
      </w:pPr>
      <w:r>
        <w:rPr>
          <w:rFonts w:ascii="宋体" w:hAnsi="宋体"/>
          <w:color w:val="auto"/>
          <w:sz w:val="18"/>
          <w:lang w:val="zh-TW" w:eastAsia="zh-TW" w:bidi="zh-TW"/>
        </w:rPr>
        <w:t>（</w:t>
      </w:r>
      <w:r>
        <w:rPr>
          <w:color w:val="auto"/>
          <w:szCs w:val="20"/>
          <w:lang w:val="zh-TW" w:eastAsia="zh-TW" w:bidi="zh-TW"/>
        </w:rPr>
        <w:t>2</w:t>
      </w:r>
      <w:r>
        <w:rPr>
          <w:rFonts w:ascii="宋体" w:hAnsi="宋体"/>
          <w:color w:val="auto"/>
          <w:sz w:val="18"/>
          <w:lang w:val="zh-TW" w:eastAsia="zh-TW" w:bidi="zh-TW"/>
        </w:rPr>
        <w:t>）宿舍成员学习态度端正，学习目的明确，互帮、互助、学习刻苦努力，学习成绩良好。宿舍成员申报期内无课程不及格现象。</w:t>
      </w:r>
    </w:p>
    <w:p>
      <w:pPr>
        <w:tabs>
          <w:tab w:val="left" w:pos="531"/>
        </w:tabs>
        <w:spacing w:line="305" w:lineRule="exact"/>
        <w:ind w:firstLine="360" w:firstLineChars="200"/>
        <w:rPr>
          <w:rFonts w:ascii="宋体" w:hAnsi="宋体" w:eastAsia="PMingLiU"/>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3</w:t>
      </w:r>
      <w:r>
        <w:rPr>
          <w:rFonts w:ascii="宋体" w:hAnsi="宋体"/>
          <w:color w:val="auto"/>
          <w:sz w:val="18"/>
          <w:szCs w:val="20"/>
          <w:lang w:val="zh-TW" w:eastAsia="zh-TW" w:bidi="zh-TW"/>
        </w:rPr>
        <w:t>）</w:t>
      </w:r>
      <w:r>
        <w:rPr>
          <w:rFonts w:ascii="宋体" w:hAnsi="宋体"/>
          <w:color w:val="auto"/>
          <w:sz w:val="18"/>
          <w:lang w:val="zh-TW" w:eastAsia="zh-TW" w:bidi="zh-TW"/>
        </w:rPr>
        <w:t>在学校规定的学习时间内，无睡懒觉、上网玩游戏或看影视剧、打牌等与学习无</w:t>
      </w:r>
      <w:r>
        <w:rPr>
          <w:rFonts w:hint="eastAsia" w:ascii="宋体" w:hAnsi="宋体"/>
          <w:color w:val="auto"/>
          <w:sz w:val="18"/>
          <w:lang w:val="zh-TW" w:eastAsia="zh-TW" w:bidi="zh-TW"/>
        </w:rPr>
        <w:t>关的行为。</w:t>
      </w:r>
      <w:bookmarkStart w:id="302" w:name="bookmark551"/>
      <w:bookmarkEnd w:id="302"/>
    </w:p>
    <w:p>
      <w:pPr>
        <w:tabs>
          <w:tab w:val="left" w:pos="531"/>
        </w:tabs>
        <w:spacing w:line="305" w:lineRule="exact"/>
        <w:ind w:firstLine="360" w:firstLineChars="20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4</w:t>
      </w:r>
      <w:r>
        <w:rPr>
          <w:rFonts w:ascii="宋体" w:hAnsi="宋体"/>
          <w:color w:val="auto"/>
          <w:sz w:val="18"/>
          <w:szCs w:val="20"/>
          <w:lang w:val="zh-TW" w:eastAsia="zh-TW" w:bidi="zh-TW"/>
        </w:rPr>
        <w:t>）</w:t>
      </w:r>
      <w:r>
        <w:rPr>
          <w:rFonts w:ascii="宋体" w:hAnsi="宋体"/>
          <w:color w:val="auto"/>
          <w:sz w:val="18"/>
          <w:lang w:val="zh-TW" w:eastAsia="zh-TW" w:bidi="zh-TW"/>
        </w:rPr>
        <w:t>按时上课、上早晚自习，无旷课、迟到现象。</w:t>
      </w:r>
    </w:p>
    <w:p>
      <w:pPr>
        <w:tabs>
          <w:tab w:val="left" w:pos="1062"/>
        </w:tabs>
        <w:spacing w:line="312" w:lineRule="exact"/>
        <w:ind w:left="420"/>
        <w:rPr>
          <w:rFonts w:ascii="宋体" w:hAnsi="宋体"/>
          <w:color w:val="auto"/>
          <w:sz w:val="18"/>
          <w:lang w:val="zh-TW" w:eastAsia="zh-TW" w:bidi="zh-TW"/>
        </w:rPr>
      </w:pPr>
      <w:r>
        <w:rPr>
          <w:rFonts w:hint="eastAsia" w:ascii="宋体" w:hAnsi="宋体"/>
          <w:color w:val="auto"/>
          <w:sz w:val="18"/>
          <w:lang w:eastAsia="zh-CN" w:bidi="zh-TW"/>
        </w:rPr>
        <w:t>(八）</w:t>
      </w:r>
      <w:r>
        <w:rPr>
          <w:rFonts w:ascii="宋体" w:hAnsi="宋体"/>
          <w:color w:val="auto"/>
          <w:sz w:val="18"/>
          <w:lang w:val="zh-TW" w:eastAsia="zh-TW" w:bidi="zh-TW"/>
        </w:rPr>
        <w:t>先进班集体的评比。</w:t>
      </w:r>
    </w:p>
    <w:p>
      <w:pPr>
        <w:tabs>
          <w:tab w:val="left" w:pos="745"/>
        </w:tabs>
        <w:spacing w:line="312" w:lineRule="exact"/>
        <w:ind w:left="420"/>
        <w:rPr>
          <w:rFonts w:ascii="宋体" w:hAnsi="宋体"/>
          <w:color w:val="auto"/>
          <w:szCs w:val="20"/>
          <w:lang w:val="zh-TW" w:eastAsia="zh-TW" w:bidi="zh-TW"/>
        </w:rPr>
      </w:pPr>
      <w:bookmarkStart w:id="303" w:name="bookmark554"/>
      <w:bookmarkEnd w:id="303"/>
      <w:r>
        <w:rPr>
          <w:rFonts w:hint="eastAsia" w:eastAsia="等线"/>
          <w:color w:val="auto"/>
          <w:lang w:val="zh-TW" w:eastAsia="zh-CN" w:bidi="zh-TW"/>
        </w:rPr>
        <w:t>1.</w:t>
      </w:r>
      <w:r>
        <w:rPr>
          <w:rFonts w:ascii="宋体" w:hAnsi="宋体"/>
          <w:color w:val="auto"/>
          <w:sz w:val="18"/>
          <w:lang w:val="zh-TW" w:eastAsia="zh-TW" w:bidi="zh-TW"/>
        </w:rPr>
        <w:t>评比比例：先进班级数不超过年级参加评比班级数的</w:t>
      </w:r>
      <w:r>
        <w:rPr>
          <w:color w:val="auto"/>
          <w:szCs w:val="20"/>
          <w:lang w:eastAsia="zh-CN"/>
        </w:rPr>
        <w:t>20</w:t>
      </w:r>
      <w:r>
        <w:rPr>
          <w:rFonts w:ascii="宋体" w:hAnsi="宋体"/>
          <w:color w:val="auto"/>
          <w:sz w:val="18"/>
          <w:lang w:val="zh-TW" w:eastAsia="zh-TW" w:bidi="zh-TW"/>
        </w:rPr>
        <w:t>%</w:t>
      </w:r>
      <w:r>
        <w:rPr>
          <w:rFonts w:hint="eastAsia" w:ascii="宋体" w:hAnsi="宋体"/>
          <w:color w:val="auto"/>
          <w:szCs w:val="20"/>
          <w:lang w:eastAsia="zh-CN"/>
        </w:rPr>
        <w:t>。</w:t>
      </w:r>
    </w:p>
    <w:p>
      <w:pPr>
        <w:tabs>
          <w:tab w:val="left" w:pos="764"/>
        </w:tabs>
        <w:spacing w:line="312" w:lineRule="exact"/>
        <w:ind w:firstLine="400"/>
        <w:rPr>
          <w:rFonts w:ascii="宋体" w:hAnsi="宋体"/>
          <w:color w:val="auto"/>
          <w:sz w:val="18"/>
          <w:lang w:val="zh-TW" w:eastAsia="zh-TW" w:bidi="zh-TW"/>
        </w:rPr>
      </w:pPr>
      <w:bookmarkStart w:id="304" w:name="bookmark555"/>
      <w:bookmarkEnd w:id="304"/>
      <w:r>
        <w:rPr>
          <w:rFonts w:hint="eastAsia" w:eastAsia="等线"/>
          <w:color w:val="auto"/>
          <w:lang w:val="zh-TW" w:eastAsia="zh-CN" w:bidi="zh-TW"/>
        </w:rPr>
        <w:t>2</w:t>
      </w:r>
      <w:r>
        <w:rPr>
          <w:rFonts w:eastAsia="PMingLiU"/>
          <w:color w:val="auto"/>
          <w:lang w:val="zh-TW" w:eastAsia="zh-TW" w:bidi="zh-TW"/>
        </w:rPr>
        <w:t>.</w:t>
      </w:r>
      <w:r>
        <w:rPr>
          <w:rFonts w:ascii="宋体" w:hAnsi="宋体"/>
          <w:color w:val="auto"/>
          <w:sz w:val="18"/>
          <w:lang w:val="zh-TW" w:eastAsia="zh-TW" w:bidi="zh-TW"/>
        </w:rPr>
        <w:t>评比条件：</w:t>
      </w:r>
    </w:p>
    <w:p>
      <w:pPr>
        <w:tabs>
          <w:tab w:val="left" w:pos="949"/>
        </w:tabs>
        <w:spacing w:line="312" w:lineRule="exact"/>
        <w:ind w:firstLine="420"/>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有一个团结的班、团干部班子，干部工作认真主动，积极配合，能较好地组织全班同学完成各级组织布置的工作，并能创造性地开展一系列有益于班风、学风建设的活动；</w:t>
      </w:r>
    </w:p>
    <w:p>
      <w:pPr>
        <w:tabs>
          <w:tab w:val="left" w:pos="956"/>
        </w:tabs>
        <w:spacing w:line="312" w:lineRule="exact"/>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2</w:t>
      </w:r>
      <w:r>
        <w:rPr>
          <w:rFonts w:ascii="宋体" w:hAnsi="宋体"/>
          <w:color w:val="auto"/>
          <w:sz w:val="18"/>
          <w:szCs w:val="20"/>
          <w:lang w:val="zh-TW" w:eastAsia="zh-TW" w:bidi="zh-TW"/>
        </w:rPr>
        <w:t>）</w:t>
      </w:r>
      <w:r>
        <w:rPr>
          <w:rFonts w:ascii="宋体" w:hAnsi="宋体"/>
          <w:color w:val="auto"/>
          <w:sz w:val="18"/>
          <w:lang w:val="zh-TW" w:eastAsia="zh-TW" w:bidi="zh-TW"/>
        </w:rPr>
        <w:t>全班同学紧密团结，互帮互助，文明礼貌，集体主义观念强；</w:t>
      </w:r>
    </w:p>
    <w:p>
      <w:pPr>
        <w:tabs>
          <w:tab w:val="left" w:pos="956"/>
        </w:tabs>
        <w:spacing w:line="312" w:lineRule="exact"/>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3</w:t>
      </w:r>
      <w:r>
        <w:rPr>
          <w:rFonts w:ascii="宋体" w:hAnsi="宋体"/>
          <w:color w:val="auto"/>
          <w:sz w:val="18"/>
          <w:szCs w:val="20"/>
          <w:lang w:val="zh-TW" w:eastAsia="zh-TW" w:bidi="zh-TW"/>
        </w:rPr>
        <w:t>）</w:t>
      </w:r>
      <w:r>
        <w:rPr>
          <w:rFonts w:ascii="宋体" w:hAnsi="宋体"/>
          <w:color w:val="auto"/>
          <w:sz w:val="18"/>
          <w:lang w:val="zh-TW" w:eastAsia="zh-TW" w:bidi="zh-TW"/>
        </w:rPr>
        <w:t>在各种集体活动中为全院各班起模范带头作用；</w:t>
      </w:r>
    </w:p>
    <w:p>
      <w:pPr>
        <w:tabs>
          <w:tab w:val="left" w:pos="949"/>
        </w:tabs>
        <w:spacing w:line="317" w:lineRule="exact"/>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4</w:t>
      </w:r>
      <w:r>
        <w:rPr>
          <w:rFonts w:ascii="宋体" w:hAnsi="宋体"/>
          <w:color w:val="auto"/>
          <w:sz w:val="18"/>
          <w:szCs w:val="20"/>
          <w:lang w:val="zh-TW" w:eastAsia="zh-TW" w:bidi="zh-TW"/>
        </w:rPr>
        <w:t>）</w:t>
      </w:r>
      <w:r>
        <w:rPr>
          <w:rFonts w:ascii="宋体" w:hAnsi="宋体"/>
          <w:color w:val="auto"/>
          <w:sz w:val="18"/>
          <w:lang w:val="zh-TW" w:eastAsia="zh-TW" w:bidi="zh-TW"/>
        </w:rPr>
        <w:t>全班同学学习勤奋，学风严谨，出勤率在百分之九十五以上，全班同学必修和限制性选修课学习成绩优良占百分之七十以上；</w:t>
      </w:r>
    </w:p>
    <w:p>
      <w:pPr>
        <w:tabs>
          <w:tab w:val="left" w:pos="956"/>
        </w:tabs>
        <w:spacing w:after="60" w:line="312" w:lineRule="exact"/>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5</w:t>
      </w:r>
      <w:r>
        <w:rPr>
          <w:rFonts w:ascii="宋体" w:hAnsi="宋体"/>
          <w:color w:val="auto"/>
          <w:sz w:val="18"/>
          <w:szCs w:val="20"/>
          <w:lang w:val="zh-TW" w:eastAsia="zh-TW" w:bidi="zh-TW"/>
        </w:rPr>
        <w:t>）</w:t>
      </w:r>
      <w:r>
        <w:rPr>
          <w:rFonts w:ascii="宋体" w:hAnsi="宋体"/>
          <w:color w:val="auto"/>
          <w:sz w:val="18"/>
          <w:lang w:val="zh-TW" w:eastAsia="zh-TW" w:bidi="zh-TW"/>
        </w:rPr>
        <w:t>当年度全班学生中无严重违纪现象，对后进学生能采取有效措施帮助其共同进步；</w:t>
      </w:r>
    </w:p>
    <w:p>
      <w:pPr>
        <w:tabs>
          <w:tab w:val="left" w:pos="956"/>
        </w:tabs>
        <w:spacing w:after="60"/>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6</w:t>
      </w:r>
      <w:r>
        <w:rPr>
          <w:rFonts w:ascii="宋体" w:hAnsi="宋体"/>
          <w:color w:val="auto"/>
          <w:sz w:val="18"/>
          <w:szCs w:val="20"/>
          <w:lang w:val="zh-TW" w:eastAsia="zh-TW" w:bidi="zh-TW"/>
        </w:rPr>
        <w:t>）</w:t>
      </w:r>
      <w:r>
        <w:rPr>
          <w:rFonts w:ascii="宋体" w:hAnsi="宋体"/>
          <w:color w:val="auto"/>
          <w:sz w:val="18"/>
          <w:lang w:val="zh-TW" w:eastAsia="zh-TW" w:bidi="zh-TW"/>
        </w:rPr>
        <w:t>平均学习成绩在年级中领先，遵守课堂纪律，自修情况良好，留（降）级、退学率低。</w:t>
      </w:r>
    </w:p>
    <w:p>
      <w:pPr>
        <w:tabs>
          <w:tab w:val="left" w:pos="1062"/>
        </w:tabs>
        <w:ind w:firstLine="420"/>
        <w:rPr>
          <w:rFonts w:ascii="宋体" w:hAnsi="宋体"/>
          <w:color w:val="auto"/>
          <w:sz w:val="18"/>
          <w:lang w:val="zh-TW" w:eastAsia="zh-TW" w:bidi="zh-TW"/>
        </w:rPr>
      </w:pPr>
      <w:r>
        <w:rPr>
          <w:rFonts w:ascii="宋体" w:hAnsi="宋体"/>
          <w:color w:val="auto"/>
          <w:sz w:val="18"/>
          <w:lang w:val="zh-TW" w:eastAsia="zh-TW" w:bidi="zh-TW"/>
        </w:rPr>
        <w:t>（九）学风建设标兵班级的评比。</w:t>
      </w:r>
    </w:p>
    <w:p>
      <w:pPr>
        <w:spacing w:line="312" w:lineRule="exact"/>
        <w:ind w:firstLine="420"/>
        <w:rPr>
          <w:rFonts w:ascii="宋体" w:hAnsi="宋体"/>
          <w:color w:val="auto"/>
          <w:sz w:val="18"/>
          <w:lang w:val="zh-TW" w:eastAsia="zh-TW" w:bidi="zh-TW"/>
        </w:rPr>
      </w:pPr>
      <w:r>
        <w:rPr>
          <w:rFonts w:hint="eastAsia" w:eastAsia="等线"/>
          <w:color w:val="auto"/>
          <w:szCs w:val="20"/>
          <w:lang w:eastAsia="zh-CN"/>
        </w:rPr>
        <w:t>1</w:t>
      </w:r>
      <w:r>
        <w:rPr>
          <w:rFonts w:eastAsia="等线"/>
          <w:color w:val="auto"/>
          <w:szCs w:val="20"/>
          <w:lang w:eastAsia="zh-CN"/>
        </w:rPr>
        <w:t>.</w:t>
      </w:r>
      <w:r>
        <w:rPr>
          <w:rFonts w:ascii="宋体" w:hAnsi="宋体"/>
          <w:color w:val="auto"/>
          <w:sz w:val="18"/>
          <w:lang w:val="zh-TW" w:eastAsia="zh-TW" w:bidi="zh-TW"/>
        </w:rPr>
        <w:t>评比比例：全校评选</w:t>
      </w:r>
      <w:r>
        <w:rPr>
          <w:color w:val="auto"/>
          <w:szCs w:val="20"/>
          <w:lang w:val="zh-TW" w:eastAsia="zh-TW" w:bidi="zh-TW"/>
        </w:rPr>
        <w:t>10</w:t>
      </w:r>
      <w:r>
        <w:rPr>
          <w:rFonts w:ascii="宋体" w:hAnsi="宋体"/>
          <w:color w:val="auto"/>
          <w:sz w:val="18"/>
          <w:lang w:val="zh-TW" w:eastAsia="zh-TW" w:bidi="zh-TW"/>
        </w:rPr>
        <w:t>个。</w:t>
      </w:r>
    </w:p>
    <w:p>
      <w:pPr>
        <w:spacing w:after="60" w:line="312" w:lineRule="exact"/>
        <w:ind w:firstLine="420"/>
        <w:rPr>
          <w:rFonts w:ascii="宋体" w:hAnsi="宋体"/>
          <w:color w:val="auto"/>
          <w:sz w:val="18"/>
          <w:lang w:val="zh-TW" w:eastAsia="zh-TW" w:bidi="zh-TW"/>
        </w:rPr>
      </w:pPr>
      <w:r>
        <w:rPr>
          <w:rFonts w:eastAsia="PMingLiU"/>
          <w:color w:val="auto"/>
          <w:szCs w:val="20"/>
          <w:lang w:val="zh-TW" w:eastAsia="zh-TW" w:bidi="zh-TW"/>
        </w:rPr>
        <w:t>2.</w:t>
      </w:r>
      <w:r>
        <w:rPr>
          <w:rFonts w:ascii="宋体" w:hAnsi="宋体"/>
          <w:color w:val="auto"/>
          <w:sz w:val="18"/>
          <w:lang w:val="zh-TW" w:eastAsia="zh-TW" w:bidi="zh-TW"/>
        </w:rPr>
        <w:t>评比条件：</w:t>
      </w:r>
    </w:p>
    <w:p>
      <w:pPr>
        <w:tabs>
          <w:tab w:val="left" w:pos="956"/>
        </w:tabs>
        <w:ind w:firstLine="420"/>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申报学校学风建设标兵班级的创建活动；</w:t>
      </w:r>
    </w:p>
    <w:p>
      <w:pPr>
        <w:tabs>
          <w:tab w:val="left" w:pos="956"/>
        </w:tabs>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2</w:t>
      </w:r>
      <w:r>
        <w:rPr>
          <w:rFonts w:ascii="宋体" w:hAnsi="宋体"/>
          <w:color w:val="auto"/>
          <w:sz w:val="18"/>
          <w:szCs w:val="20"/>
          <w:lang w:val="zh-TW" w:eastAsia="zh-TW" w:bidi="zh-TW"/>
        </w:rPr>
        <w:t>）</w:t>
      </w:r>
      <w:r>
        <w:rPr>
          <w:rFonts w:ascii="宋体" w:hAnsi="宋体"/>
          <w:color w:val="auto"/>
          <w:sz w:val="18"/>
          <w:lang w:val="zh-TW" w:eastAsia="zh-TW" w:bidi="zh-TW"/>
        </w:rPr>
        <w:t>符合</w:t>
      </w:r>
      <w:r>
        <w:rPr>
          <w:rFonts w:ascii="宋体" w:hAnsi="宋体"/>
          <w:color w:val="auto"/>
          <w:sz w:val="18"/>
          <w:lang w:val="zh-CN" w:eastAsia="zh-CN" w:bidi="zh-CN"/>
        </w:rPr>
        <w:t>“先进</w:t>
      </w:r>
      <w:r>
        <w:rPr>
          <w:rFonts w:ascii="宋体" w:hAnsi="宋体"/>
          <w:color w:val="auto"/>
          <w:sz w:val="18"/>
          <w:lang w:val="zh-TW" w:eastAsia="zh-TW" w:bidi="zh-TW"/>
        </w:rPr>
        <w:t>班级</w:t>
      </w:r>
      <w:r>
        <w:rPr>
          <w:rFonts w:hint="eastAsia" w:ascii="宋体" w:hAnsi="宋体"/>
          <w:color w:val="auto"/>
          <w:sz w:val="18"/>
          <w:lang w:val="zh-TW" w:eastAsia="zh-CN" w:bidi="zh-TW"/>
        </w:rPr>
        <w:t>”</w:t>
      </w:r>
      <w:r>
        <w:rPr>
          <w:rFonts w:ascii="宋体" w:hAnsi="宋体"/>
          <w:color w:val="auto"/>
          <w:sz w:val="18"/>
          <w:lang w:val="zh-TW" w:eastAsia="zh-TW" w:bidi="zh-TW"/>
        </w:rPr>
        <w:t>的评选条件，从先进班级中产生；</w:t>
      </w:r>
    </w:p>
    <w:p>
      <w:pPr>
        <w:tabs>
          <w:tab w:val="left" w:pos="956"/>
        </w:tabs>
        <w:spacing w:after="60" w:line="312" w:lineRule="exact"/>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3</w:t>
      </w:r>
      <w:r>
        <w:rPr>
          <w:rFonts w:ascii="宋体" w:hAnsi="宋体"/>
          <w:color w:val="auto"/>
          <w:sz w:val="18"/>
          <w:szCs w:val="20"/>
          <w:lang w:val="zh-TW" w:eastAsia="zh-TW" w:bidi="zh-TW"/>
        </w:rPr>
        <w:t>）</w:t>
      </w:r>
      <w:r>
        <w:rPr>
          <w:rFonts w:ascii="宋体" w:hAnsi="宋体"/>
          <w:color w:val="auto"/>
          <w:sz w:val="18"/>
          <w:lang w:val="zh-TW" w:eastAsia="zh-TW" w:bidi="zh-TW"/>
        </w:rPr>
        <w:t>班级成员各方面表现优秀，班级集体各方面表现优秀，是大家公认的榜样。</w:t>
      </w:r>
    </w:p>
    <w:p>
      <w:pPr>
        <w:spacing w:after="60"/>
        <w:ind w:firstLine="420"/>
        <w:rPr>
          <w:rFonts w:ascii="宋体" w:hAnsi="宋体"/>
          <w:color w:val="auto"/>
          <w:sz w:val="18"/>
          <w:lang w:val="zh-TW" w:eastAsia="zh-TW" w:bidi="zh-TW"/>
        </w:rPr>
      </w:pPr>
      <w:r>
        <w:rPr>
          <w:rFonts w:ascii="宋体" w:hAnsi="宋体"/>
          <w:b/>
          <w:bCs/>
          <w:color w:val="auto"/>
          <w:sz w:val="18"/>
          <w:lang w:val="zh-TW" w:eastAsia="zh-TW" w:bidi="zh-TW"/>
        </w:rPr>
        <w:t>第十一条</w:t>
      </w:r>
      <w:r>
        <w:rPr>
          <w:rFonts w:ascii="宋体" w:hAnsi="宋体"/>
          <w:color w:val="auto"/>
          <w:sz w:val="18"/>
          <w:lang w:val="zh-TW" w:eastAsia="zh-TW" w:bidi="zh-TW"/>
        </w:rPr>
        <w:t>学习进步奖的评审见《学习进步奖及学习重大进步奖评审办法》。</w:t>
      </w:r>
    </w:p>
    <w:p>
      <w:pPr>
        <w:spacing w:after="60"/>
        <w:ind w:firstLine="420"/>
        <w:rPr>
          <w:rFonts w:ascii="宋体" w:hAnsi="宋体"/>
          <w:color w:val="auto"/>
          <w:sz w:val="18"/>
          <w:lang w:val="zh-TW" w:eastAsia="zh-TW" w:bidi="zh-TW"/>
        </w:rPr>
      </w:pPr>
      <w:r>
        <w:rPr>
          <w:rFonts w:ascii="宋体" w:hAnsi="宋体"/>
          <w:b/>
          <w:bCs/>
          <w:color w:val="auto"/>
          <w:sz w:val="18"/>
          <w:lang w:val="zh-TW" w:eastAsia="zh-TW" w:bidi="zh-TW"/>
        </w:rPr>
        <w:t>第十二条</w:t>
      </w:r>
      <w:r>
        <w:rPr>
          <w:rFonts w:ascii="宋体" w:hAnsi="宋体"/>
          <w:color w:val="auto"/>
          <w:sz w:val="18"/>
          <w:lang w:val="zh-TW" w:eastAsia="zh-TW" w:bidi="zh-TW"/>
        </w:rPr>
        <w:t>本实施办法由学生工作处负责解释。</w:t>
      </w:r>
    </w:p>
    <w:p>
      <w:pPr>
        <w:spacing w:after="60"/>
        <w:ind w:firstLine="420"/>
        <w:rPr>
          <w:rFonts w:ascii="宋体" w:hAnsi="宋体"/>
          <w:color w:val="auto"/>
          <w:sz w:val="18"/>
          <w:lang w:val="zh-TW" w:eastAsia="zh-TW" w:bidi="zh-TW"/>
        </w:rPr>
      </w:pPr>
    </w:p>
    <w:p>
      <w:pPr>
        <w:spacing w:after="60"/>
        <w:ind w:firstLine="420"/>
        <w:rPr>
          <w:rFonts w:ascii="宋体" w:hAnsi="宋体"/>
          <w:color w:val="auto"/>
          <w:sz w:val="18"/>
          <w:lang w:val="zh-TW" w:eastAsia="zh-TW" w:bidi="zh-TW"/>
        </w:rPr>
        <w:sectPr>
          <w:headerReference r:id="rId26" w:type="default"/>
          <w:footerReference r:id="rId28" w:type="default"/>
          <w:headerReference r:id="rId27" w:type="even"/>
          <w:footerReference r:id="rId29" w:type="even"/>
          <w:type w:val="continuous"/>
          <w:pgSz w:w="9800" w:h="15120"/>
          <w:pgMar w:top="1043" w:right="652" w:bottom="987" w:left="663" w:header="0" w:footer="3" w:gutter="0"/>
          <w:pgNumType w:fmt="decimal"/>
          <w:cols w:space="720" w:num="1"/>
          <w:docGrid w:linePitch="360" w:charSpace="0"/>
        </w:sectPr>
      </w:pPr>
    </w:p>
    <w:p>
      <w:pPr>
        <w:keepNext/>
        <w:keepLines/>
        <w:spacing w:after="380" w:line="595" w:lineRule="exact"/>
        <w:jc w:val="center"/>
        <w:outlineLvl w:val="0"/>
        <w:rPr>
          <w:rFonts w:ascii="宋体" w:hAnsi="宋体"/>
          <w:color w:val="auto"/>
          <w:sz w:val="38"/>
          <w:szCs w:val="38"/>
          <w:highlight w:val="none"/>
          <w:lang w:val="zh-TW" w:eastAsia="zh-TW" w:bidi="zh-TW"/>
        </w:rPr>
      </w:pPr>
      <w:bookmarkStart w:id="305" w:name="bookmark566"/>
      <w:bookmarkStart w:id="306" w:name="bookmark568"/>
      <w:bookmarkStart w:id="307" w:name="bookmark567"/>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学习进步奖及学习重大进步奖评审办法</w:t>
      </w:r>
      <w:bookmarkEnd w:id="305"/>
      <w:bookmarkEnd w:id="306"/>
      <w:bookmarkEnd w:id="307"/>
    </w:p>
    <w:p>
      <w:pPr>
        <w:spacing w:after="220" w:line="300"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为调动学生的学习积极性，激励学生勤奋学习，在全校上下形成良好的学习风气，经研究决定，在我校学生中设立学习进步奖和学习重大进步奖。评比条件、评定程序及奖励办法如下：</w:t>
      </w:r>
    </w:p>
    <w:p>
      <w:pPr>
        <w:spacing w:after="220"/>
        <w:ind w:firstLine="420"/>
        <w:jc w:val="both"/>
        <w:rPr>
          <w:rFonts w:ascii="宋体" w:hAnsi="宋体"/>
          <w:b/>
          <w:bCs/>
          <w:color w:val="auto"/>
          <w:sz w:val="22"/>
          <w:szCs w:val="22"/>
          <w:lang w:val="zh-TW" w:eastAsia="zh-TW" w:bidi="zh-TW"/>
        </w:rPr>
      </w:pPr>
      <w:r>
        <w:rPr>
          <w:rFonts w:ascii="宋体" w:hAnsi="宋体"/>
          <w:b/>
          <w:bCs/>
          <w:color w:val="auto"/>
          <w:sz w:val="22"/>
          <w:szCs w:val="22"/>
          <w:lang w:val="zh-TW" w:eastAsia="zh-TW" w:bidi="zh-TW"/>
        </w:rPr>
        <w:t>—、评比条件</w:t>
      </w:r>
    </w:p>
    <w:p>
      <w:pPr>
        <w:tabs>
          <w:tab w:val="left" w:pos="745"/>
        </w:tabs>
        <w:spacing w:line="322" w:lineRule="auto"/>
        <w:ind w:firstLine="400" w:firstLineChars="200"/>
        <w:jc w:val="both"/>
        <w:rPr>
          <w:rFonts w:ascii="宋体" w:hAnsi="宋体"/>
          <w:color w:val="auto"/>
          <w:sz w:val="18"/>
          <w:lang w:val="zh-TW" w:eastAsia="zh-TW" w:bidi="zh-TW"/>
        </w:rPr>
      </w:pPr>
      <w:bookmarkStart w:id="308" w:name="bookmark569"/>
      <w:bookmarkEnd w:id="308"/>
      <w:r>
        <w:rPr>
          <w:rFonts w:hint="eastAsia"/>
          <w:color w:val="auto"/>
          <w:lang w:eastAsia="zh-CN" w:bidi="zh-TW"/>
        </w:rPr>
        <w:t>1.</w:t>
      </w:r>
      <w:r>
        <w:rPr>
          <w:rFonts w:ascii="宋体" w:hAnsi="宋体"/>
          <w:color w:val="auto"/>
          <w:sz w:val="18"/>
          <w:lang w:val="zh-TW" w:eastAsia="zh-TW" w:bidi="zh-TW"/>
        </w:rPr>
        <w:t>学习进步奖评比条件</w:t>
      </w:r>
    </w:p>
    <w:p>
      <w:pPr>
        <w:spacing w:line="307" w:lineRule="exact"/>
        <w:ind w:firstLine="540" w:firstLineChars="300"/>
        <w:rPr>
          <w:rFonts w:ascii="宋体" w:hAnsi="宋体"/>
          <w:color w:val="auto"/>
          <w:sz w:val="18"/>
          <w:lang w:val="zh-TW" w:eastAsia="zh-TW" w:bidi="zh-TW"/>
        </w:rPr>
      </w:pPr>
      <w:bookmarkStart w:id="309" w:name="bookmark570"/>
      <w:bookmarkEnd w:id="309"/>
      <w:r>
        <w:rPr>
          <w:rFonts w:hint="eastAsia" w:ascii="宋体" w:hAnsi="宋体"/>
          <w:color w:val="auto"/>
          <w:sz w:val="18"/>
          <w:lang w:val="zh-TW" w:eastAsia="zh-TW" w:bidi="zh-TW"/>
        </w:rPr>
        <w:t>（</w:t>
      </w:r>
      <w:r>
        <w:rPr>
          <w:rFonts w:hint="eastAsia"/>
          <w:color w:val="auto"/>
          <w:lang w:eastAsia="zh-CN" w:bidi="zh-TW"/>
        </w:rPr>
        <w:t>1</w:t>
      </w:r>
      <w:r>
        <w:rPr>
          <w:rFonts w:hint="eastAsia" w:ascii="宋体" w:hAnsi="宋体"/>
          <w:color w:val="auto"/>
          <w:sz w:val="18"/>
          <w:lang w:val="zh-TW" w:eastAsia="zh-TW" w:bidi="zh-TW"/>
        </w:rPr>
        <w:t>）</w:t>
      </w:r>
      <w:r>
        <w:rPr>
          <w:rFonts w:ascii="宋体" w:hAnsi="宋体"/>
          <w:color w:val="auto"/>
          <w:sz w:val="18"/>
          <w:lang w:val="zh-TW" w:eastAsia="zh-TW" w:bidi="zh-TW"/>
        </w:rPr>
        <w:t>学习态度端正，学习积极性高；</w:t>
      </w:r>
    </w:p>
    <w:p>
      <w:pPr>
        <w:spacing w:line="307" w:lineRule="exact"/>
        <w:ind w:firstLine="540" w:firstLineChars="300"/>
        <w:rPr>
          <w:rFonts w:ascii="宋体" w:hAnsi="宋体"/>
          <w:color w:val="auto"/>
          <w:sz w:val="18"/>
          <w:lang w:val="zh-TW" w:eastAsia="zh-TW" w:bidi="zh-TW"/>
        </w:rPr>
      </w:pPr>
      <w:bookmarkStart w:id="310" w:name="bookmark571"/>
      <w:bookmarkEnd w:id="310"/>
      <w:r>
        <w:rPr>
          <w:rFonts w:hint="eastAsia" w:ascii="宋体" w:hAnsi="宋体"/>
          <w:color w:val="auto"/>
          <w:sz w:val="18"/>
          <w:lang w:val="zh-TW" w:eastAsia="zh-TW" w:bidi="zh-TW"/>
        </w:rPr>
        <w:t>（</w:t>
      </w:r>
      <w:r>
        <w:rPr>
          <w:rFonts w:hint="eastAsia"/>
          <w:color w:val="auto"/>
          <w:lang w:eastAsia="zh-CN" w:bidi="zh-TW"/>
        </w:rPr>
        <w:t>2</w:t>
      </w:r>
      <w:r>
        <w:rPr>
          <w:rFonts w:hint="eastAsia" w:ascii="宋体" w:hAnsi="宋体"/>
          <w:color w:val="auto"/>
          <w:sz w:val="18"/>
          <w:lang w:val="zh-TW" w:eastAsia="zh-TW" w:bidi="zh-TW"/>
        </w:rPr>
        <w:t>）</w:t>
      </w:r>
      <w:r>
        <w:rPr>
          <w:rFonts w:ascii="宋体" w:hAnsi="宋体"/>
          <w:color w:val="auto"/>
          <w:sz w:val="18"/>
          <w:lang w:val="zh-TW" w:eastAsia="zh-TW" w:bidi="zh-TW"/>
        </w:rPr>
        <w:t>良好遵守学校各项规章制度，无违纪现象；</w:t>
      </w:r>
    </w:p>
    <w:p>
      <w:pPr>
        <w:spacing w:line="307" w:lineRule="exact"/>
        <w:ind w:firstLine="540" w:firstLineChars="300"/>
        <w:rPr>
          <w:rFonts w:ascii="宋体" w:hAnsi="宋体"/>
          <w:color w:val="auto"/>
          <w:sz w:val="18"/>
          <w:lang w:val="zh-TW" w:eastAsia="zh-TW" w:bidi="zh-TW"/>
        </w:rPr>
      </w:pPr>
      <w:r>
        <w:rPr>
          <w:rFonts w:hint="eastAsia" w:ascii="宋体" w:hAnsi="宋体"/>
          <w:color w:val="auto"/>
          <w:sz w:val="18"/>
          <w:lang w:val="zh-TW" w:eastAsia="zh-TW" w:bidi="zh-TW"/>
        </w:rPr>
        <w:t>（</w:t>
      </w:r>
      <w:r>
        <w:rPr>
          <w:rFonts w:hint="eastAsia"/>
          <w:color w:val="auto"/>
          <w:lang w:eastAsia="zh-CN" w:bidi="zh-TW"/>
        </w:rPr>
        <w:t>3</w:t>
      </w:r>
      <w:r>
        <w:rPr>
          <w:rFonts w:hint="eastAsia" w:ascii="宋体" w:hAnsi="宋体"/>
          <w:color w:val="auto"/>
          <w:sz w:val="18"/>
          <w:lang w:val="zh-TW" w:eastAsia="zh-TW" w:bidi="zh-TW"/>
        </w:rPr>
        <w:t>）</w:t>
      </w:r>
      <w:r>
        <w:rPr>
          <w:rFonts w:ascii="宋体" w:hAnsi="宋体"/>
          <w:color w:val="auto"/>
          <w:sz w:val="18"/>
          <w:lang w:val="zh-TW" w:eastAsia="zh-TW" w:bidi="zh-TW"/>
        </w:rPr>
        <w:t>本学年总平均学分绩点专业排名相比上学年进步名次占专业总人数</w:t>
      </w:r>
      <w:r>
        <w:rPr>
          <w:rFonts w:cs="Times New Roman"/>
          <w:color w:val="auto"/>
          <w:szCs w:val="20"/>
          <w:lang w:val="zh-TW" w:eastAsia="zh-TW" w:bidi="zh-TW"/>
        </w:rPr>
        <w:t>30</w:t>
      </w:r>
      <w:r>
        <w:rPr>
          <w:rFonts w:ascii="宋体" w:hAnsi="宋体"/>
          <w:color w:val="auto"/>
          <w:sz w:val="18"/>
          <w:lang w:val="zh-TW" w:eastAsia="zh-TW" w:bidi="zh-TW"/>
        </w:rPr>
        <w:t>%以上。</w:t>
      </w:r>
      <w:bookmarkStart w:id="311" w:name="bookmark572"/>
      <w:bookmarkEnd w:id="311"/>
    </w:p>
    <w:p>
      <w:pPr>
        <w:tabs>
          <w:tab w:val="left" w:pos="745"/>
        </w:tabs>
        <w:spacing w:line="307" w:lineRule="exact"/>
        <w:ind w:firstLine="400" w:firstLineChars="200"/>
        <w:jc w:val="both"/>
        <w:rPr>
          <w:color w:val="auto"/>
          <w:lang w:eastAsia="zh-CN" w:bidi="zh-TW"/>
        </w:rPr>
      </w:pPr>
      <w:r>
        <w:rPr>
          <w:rFonts w:hint="eastAsia"/>
          <w:color w:val="auto"/>
          <w:lang w:eastAsia="zh-CN" w:bidi="zh-TW"/>
        </w:rPr>
        <w:t>2.</w:t>
      </w:r>
      <w:r>
        <w:rPr>
          <w:color w:val="auto"/>
          <w:sz w:val="18"/>
          <w:lang w:eastAsia="zh-CN" w:bidi="zh-TW"/>
        </w:rPr>
        <w:t>学习重大进步奖评比条件</w:t>
      </w:r>
    </w:p>
    <w:p>
      <w:pPr>
        <w:spacing w:line="307" w:lineRule="exact"/>
        <w:ind w:firstLine="540" w:firstLineChars="300"/>
        <w:rPr>
          <w:rFonts w:ascii="宋体" w:hAnsi="宋体"/>
          <w:color w:val="auto"/>
          <w:sz w:val="18"/>
          <w:lang w:val="zh-TW" w:eastAsia="zh-TW" w:bidi="zh-TW"/>
        </w:rPr>
      </w:pPr>
      <w:bookmarkStart w:id="312" w:name="bookmark573"/>
      <w:bookmarkEnd w:id="312"/>
      <w:r>
        <w:rPr>
          <w:rFonts w:hint="eastAsia" w:ascii="宋体" w:hAnsi="宋体"/>
          <w:color w:val="auto"/>
          <w:sz w:val="18"/>
          <w:lang w:val="zh-TW" w:eastAsia="zh-CN" w:bidi="zh-TW"/>
        </w:rPr>
        <w:t>（</w:t>
      </w:r>
      <w:r>
        <w:rPr>
          <w:rFonts w:hint="eastAsia"/>
          <w:color w:val="auto"/>
          <w:lang w:eastAsia="zh-CN" w:bidi="zh-TW"/>
        </w:rPr>
        <w:t>1</w:t>
      </w:r>
      <w:r>
        <w:rPr>
          <w:rFonts w:hint="eastAsia" w:ascii="宋体" w:hAnsi="宋体"/>
          <w:color w:val="auto"/>
          <w:sz w:val="18"/>
          <w:lang w:val="zh-TW" w:eastAsia="zh-CN" w:bidi="zh-TW"/>
        </w:rPr>
        <w:t>）</w:t>
      </w:r>
      <w:r>
        <w:rPr>
          <w:rFonts w:ascii="宋体" w:hAnsi="宋体"/>
          <w:color w:val="auto"/>
          <w:sz w:val="18"/>
          <w:lang w:val="zh-TW" w:eastAsia="zh-TW" w:bidi="zh-TW"/>
        </w:rPr>
        <w:t>学习态度端正，学习积极性高、在同学中发挥良好示范作用；</w:t>
      </w:r>
    </w:p>
    <w:p>
      <w:pPr>
        <w:spacing w:line="307" w:lineRule="exact"/>
        <w:ind w:firstLine="540" w:firstLineChars="300"/>
        <w:rPr>
          <w:rFonts w:ascii="宋体" w:hAnsi="宋体"/>
          <w:color w:val="auto"/>
          <w:sz w:val="18"/>
          <w:lang w:val="zh-TW" w:eastAsia="zh-TW" w:bidi="zh-TW"/>
        </w:rPr>
      </w:pPr>
      <w:bookmarkStart w:id="313" w:name="bookmark574"/>
      <w:bookmarkEnd w:id="313"/>
      <w:r>
        <w:rPr>
          <w:rFonts w:hint="eastAsia" w:ascii="宋体" w:hAnsi="宋体"/>
          <w:color w:val="auto"/>
          <w:sz w:val="18"/>
          <w:lang w:val="zh-TW" w:eastAsia="zh-CN" w:bidi="zh-TW"/>
        </w:rPr>
        <w:t>（</w:t>
      </w:r>
      <w:r>
        <w:rPr>
          <w:rFonts w:hint="eastAsia"/>
          <w:color w:val="auto"/>
          <w:lang w:eastAsia="zh-CN" w:bidi="zh-TW"/>
        </w:rPr>
        <w:t>2</w:t>
      </w:r>
      <w:r>
        <w:rPr>
          <w:rFonts w:hint="eastAsia" w:ascii="宋体" w:hAnsi="宋体"/>
          <w:color w:val="auto"/>
          <w:sz w:val="18"/>
          <w:lang w:val="zh-TW" w:eastAsia="zh-CN" w:bidi="zh-TW"/>
        </w:rPr>
        <w:t>）</w:t>
      </w:r>
      <w:r>
        <w:rPr>
          <w:rFonts w:ascii="宋体" w:hAnsi="宋体"/>
          <w:color w:val="auto"/>
          <w:sz w:val="18"/>
          <w:lang w:val="zh-TW" w:eastAsia="zh-TW" w:bidi="zh-TW"/>
        </w:rPr>
        <w:t>模范遵守学校各项规章制度，综合表现突出；</w:t>
      </w:r>
    </w:p>
    <w:p>
      <w:pPr>
        <w:spacing w:line="307" w:lineRule="exact"/>
        <w:ind w:firstLine="540" w:firstLineChars="300"/>
        <w:rPr>
          <w:rFonts w:ascii="宋体" w:hAnsi="宋体" w:eastAsia="PMingLiU"/>
          <w:color w:val="auto"/>
          <w:sz w:val="18"/>
          <w:lang w:val="zh-TW" w:eastAsia="zh-TW" w:bidi="zh-TW"/>
        </w:rPr>
      </w:pPr>
      <w:r>
        <w:rPr>
          <w:rFonts w:hint="eastAsia" w:ascii="宋体" w:hAnsi="宋体"/>
          <w:color w:val="auto"/>
          <w:sz w:val="18"/>
          <w:lang w:val="zh-TW" w:eastAsia="zh-CN" w:bidi="zh-TW"/>
        </w:rPr>
        <w:t>（</w:t>
      </w:r>
      <w:r>
        <w:rPr>
          <w:rFonts w:hint="eastAsia"/>
          <w:color w:val="auto"/>
          <w:lang w:eastAsia="zh-CN" w:bidi="zh-TW"/>
        </w:rPr>
        <w:t>3</w:t>
      </w:r>
      <w:r>
        <w:rPr>
          <w:rFonts w:hint="eastAsia" w:ascii="宋体" w:hAnsi="宋体"/>
          <w:color w:val="auto"/>
          <w:sz w:val="18"/>
          <w:lang w:val="zh-TW" w:eastAsia="zh-CN" w:bidi="zh-TW"/>
        </w:rPr>
        <w:t>）</w:t>
      </w:r>
      <w:r>
        <w:rPr>
          <w:rFonts w:ascii="宋体" w:hAnsi="宋体"/>
          <w:color w:val="auto"/>
          <w:sz w:val="18"/>
          <w:lang w:val="zh-TW" w:eastAsia="zh-TW" w:bidi="zh-TW"/>
        </w:rPr>
        <w:t>本学年总平均学分绩点专业排名相比上学年进步名次占专业总人数</w:t>
      </w:r>
      <w:r>
        <w:rPr>
          <w:color w:val="auto"/>
          <w:szCs w:val="20"/>
          <w:lang w:val="zh-TW" w:eastAsia="zh-TW" w:bidi="zh-TW"/>
        </w:rPr>
        <w:t>50</w:t>
      </w:r>
      <w:r>
        <w:rPr>
          <w:rFonts w:ascii="宋体" w:hAnsi="宋体"/>
          <w:color w:val="auto"/>
          <w:sz w:val="18"/>
          <w:lang w:val="zh-TW" w:eastAsia="zh-TW" w:bidi="zh-TW"/>
        </w:rPr>
        <w:t>%以上。</w:t>
      </w:r>
      <w:bookmarkStart w:id="314" w:name="bookmark575"/>
    </w:p>
    <w:p>
      <w:pPr>
        <w:tabs>
          <w:tab w:val="left" w:pos="946"/>
        </w:tabs>
        <w:spacing w:before="220" w:after="220"/>
        <w:ind w:firstLine="420"/>
        <w:jc w:val="both"/>
        <w:rPr>
          <w:rFonts w:ascii="宋体" w:hAnsi="宋体"/>
          <w:b/>
          <w:bCs/>
          <w:color w:val="auto"/>
          <w:sz w:val="22"/>
          <w:szCs w:val="22"/>
          <w:lang w:val="zh-TW" w:eastAsia="zh-TW" w:bidi="zh-TW"/>
        </w:rPr>
      </w:pPr>
      <w:r>
        <w:rPr>
          <w:rFonts w:ascii="宋体" w:hAnsi="宋体"/>
          <w:b/>
          <w:bCs/>
          <w:color w:val="auto"/>
          <w:sz w:val="22"/>
          <w:szCs w:val="22"/>
          <w:lang w:val="zh-TW" w:eastAsia="zh-TW" w:bidi="zh-TW"/>
        </w:rPr>
        <w:t>二</w:t>
      </w:r>
      <w:bookmarkEnd w:id="314"/>
      <w:r>
        <w:rPr>
          <w:rFonts w:ascii="宋体" w:hAnsi="宋体"/>
          <w:b/>
          <w:bCs/>
          <w:color w:val="auto"/>
          <w:sz w:val="22"/>
          <w:szCs w:val="22"/>
          <w:lang w:val="zh-TW" w:eastAsia="zh-TW" w:bidi="zh-TW"/>
        </w:rPr>
        <w:t>、评定程序</w:t>
      </w:r>
    </w:p>
    <w:p>
      <w:pPr>
        <w:tabs>
          <w:tab w:val="left" w:pos="771"/>
        </w:tabs>
        <w:spacing w:line="307" w:lineRule="exact"/>
        <w:ind w:firstLine="400" w:firstLineChars="200"/>
        <w:jc w:val="both"/>
        <w:rPr>
          <w:rFonts w:ascii="宋体" w:hAnsi="宋体"/>
          <w:color w:val="auto"/>
          <w:sz w:val="18"/>
          <w:lang w:val="zh-TW" w:eastAsia="zh-TW" w:bidi="zh-TW"/>
        </w:rPr>
      </w:pPr>
      <w:bookmarkStart w:id="315" w:name="bookmark576"/>
      <w:bookmarkEnd w:id="315"/>
      <w:r>
        <w:rPr>
          <w:rFonts w:hint="eastAsia"/>
          <w:color w:val="auto"/>
          <w:lang w:eastAsia="zh-CN" w:bidi="zh-TW"/>
        </w:rPr>
        <w:t>1.</w:t>
      </w:r>
      <w:r>
        <w:rPr>
          <w:rFonts w:ascii="宋体" w:hAnsi="宋体"/>
          <w:color w:val="auto"/>
          <w:sz w:val="18"/>
          <w:lang w:val="zh-TW" w:eastAsia="zh-TW" w:bidi="zh-TW"/>
        </w:rPr>
        <w:t>学习进步奖与学习重大进步奖每学年评定一次，一年级学生按学期评定，每年</w:t>
      </w:r>
      <w:r>
        <w:rPr>
          <w:color w:val="auto"/>
          <w:szCs w:val="20"/>
          <w:lang w:val="zh-TW" w:eastAsia="zh-TW" w:bidi="zh-TW"/>
        </w:rPr>
        <w:t>9</w:t>
      </w:r>
      <w:r>
        <w:rPr>
          <w:rFonts w:ascii="宋体" w:hAnsi="宋体"/>
          <w:color w:val="auto"/>
          <w:sz w:val="18"/>
          <w:lang w:val="zh-TW" w:eastAsia="zh-TW" w:bidi="zh-TW"/>
        </w:rPr>
        <w:t>月底进行。</w:t>
      </w:r>
    </w:p>
    <w:p>
      <w:pPr>
        <w:tabs>
          <w:tab w:val="left" w:pos="766"/>
        </w:tabs>
        <w:spacing w:line="317" w:lineRule="exact"/>
        <w:ind w:firstLine="400" w:firstLineChars="200"/>
        <w:jc w:val="both"/>
        <w:rPr>
          <w:rFonts w:ascii="宋体" w:hAnsi="宋体"/>
          <w:color w:val="auto"/>
          <w:sz w:val="18"/>
          <w:lang w:val="zh-TW" w:eastAsia="zh-TW" w:bidi="zh-TW"/>
        </w:rPr>
      </w:pPr>
      <w:bookmarkStart w:id="316" w:name="bookmark577"/>
      <w:bookmarkEnd w:id="316"/>
      <w:r>
        <w:rPr>
          <w:rFonts w:hint="eastAsia"/>
          <w:color w:val="auto"/>
          <w:lang w:eastAsia="zh-CN" w:bidi="zh-TW"/>
        </w:rPr>
        <w:t>2.</w:t>
      </w:r>
      <w:r>
        <w:rPr>
          <w:rFonts w:ascii="宋体" w:hAnsi="宋体"/>
          <w:color w:val="auto"/>
          <w:sz w:val="18"/>
          <w:lang w:val="zh-TW" w:eastAsia="zh-TW" w:bidi="zh-TW"/>
        </w:rPr>
        <w:t>每年</w:t>
      </w:r>
      <w:r>
        <w:rPr>
          <w:color w:val="auto"/>
          <w:szCs w:val="20"/>
          <w:lang w:val="zh-TW" w:eastAsia="zh-TW" w:bidi="zh-TW"/>
        </w:rPr>
        <w:t>9</w:t>
      </w:r>
      <w:r>
        <w:rPr>
          <w:rFonts w:ascii="宋体" w:hAnsi="宋体"/>
          <w:color w:val="auto"/>
          <w:sz w:val="18"/>
          <w:lang w:val="zh-TW" w:eastAsia="zh-TW" w:bidi="zh-TW"/>
        </w:rPr>
        <w:t>月</w:t>
      </w:r>
      <w:r>
        <w:rPr>
          <w:color w:val="auto"/>
          <w:szCs w:val="20"/>
          <w:lang w:val="zh-TW" w:eastAsia="zh-TW" w:bidi="zh-TW"/>
        </w:rPr>
        <w:t>15</w:t>
      </w:r>
      <w:r>
        <w:rPr>
          <w:rFonts w:ascii="宋体" w:hAnsi="宋体"/>
          <w:color w:val="auto"/>
          <w:sz w:val="18"/>
          <w:lang w:val="zh-TW" w:eastAsia="zh-TW" w:bidi="zh-TW"/>
        </w:rPr>
        <w:t>日准时下载所有学生总平均学分绩点，保存留档；学年平均学分绩点根据教学科研处网站公布的数据。</w:t>
      </w:r>
    </w:p>
    <w:p>
      <w:pPr>
        <w:tabs>
          <w:tab w:val="left" w:pos="776"/>
        </w:tabs>
        <w:spacing w:after="220" w:line="306" w:lineRule="exact"/>
        <w:ind w:firstLine="400" w:firstLineChars="200"/>
        <w:jc w:val="both"/>
        <w:rPr>
          <w:rFonts w:ascii="宋体" w:hAnsi="宋体"/>
          <w:color w:val="auto"/>
          <w:sz w:val="18"/>
          <w:lang w:val="zh-TW" w:eastAsia="zh-TW" w:bidi="zh-TW"/>
        </w:rPr>
      </w:pPr>
      <w:bookmarkStart w:id="317" w:name="bookmark578"/>
      <w:bookmarkEnd w:id="317"/>
      <w:r>
        <w:rPr>
          <w:rFonts w:hint="eastAsia"/>
          <w:color w:val="auto"/>
          <w:lang w:eastAsia="zh-CN" w:bidi="zh-TW"/>
        </w:rPr>
        <w:t>3.</w:t>
      </w:r>
      <w:r>
        <w:rPr>
          <w:rFonts w:ascii="宋体" w:hAnsi="宋体"/>
          <w:color w:val="auto"/>
          <w:sz w:val="18"/>
          <w:lang w:val="zh-TW" w:eastAsia="zh-TW" w:bidi="zh-TW"/>
        </w:rPr>
        <w:t>各专业根据上学年、本学年总平均学分绩点记录和上学年、本学年平均学分绩点专业排名，以及学生日常表现记录等得出参评学习进步奖、学习重大进步奖学生名单；由学生申报填写《学习进步奖登记表》，《学习重大进步奖登记表》，经辅导员审核，上报院学生工作处。</w:t>
      </w:r>
    </w:p>
    <w:p>
      <w:pPr>
        <w:tabs>
          <w:tab w:val="left" w:pos="946"/>
        </w:tabs>
        <w:spacing w:after="220"/>
        <w:ind w:firstLine="420"/>
        <w:jc w:val="both"/>
        <w:rPr>
          <w:rFonts w:ascii="宋体" w:hAnsi="宋体"/>
          <w:b/>
          <w:bCs/>
          <w:color w:val="auto"/>
          <w:sz w:val="22"/>
          <w:szCs w:val="22"/>
          <w:lang w:val="zh-TW" w:eastAsia="zh-TW" w:bidi="zh-TW"/>
        </w:rPr>
      </w:pPr>
      <w:bookmarkStart w:id="318" w:name="bookmark579"/>
      <w:r>
        <w:rPr>
          <w:rFonts w:ascii="宋体" w:hAnsi="宋体"/>
          <w:b/>
          <w:bCs/>
          <w:color w:val="auto"/>
          <w:sz w:val="22"/>
          <w:szCs w:val="22"/>
          <w:lang w:val="zh-TW" w:eastAsia="zh-TW" w:bidi="zh-TW"/>
        </w:rPr>
        <w:t>三</w:t>
      </w:r>
      <w:bookmarkEnd w:id="318"/>
      <w:r>
        <w:rPr>
          <w:rFonts w:ascii="宋体" w:hAnsi="宋体"/>
          <w:b/>
          <w:bCs/>
          <w:color w:val="auto"/>
          <w:sz w:val="22"/>
          <w:szCs w:val="22"/>
          <w:lang w:val="zh-TW" w:eastAsia="zh-TW" w:bidi="zh-TW"/>
        </w:rPr>
        <w:t>、奖励办法</w:t>
      </w:r>
    </w:p>
    <w:p>
      <w:pPr>
        <w:tabs>
          <w:tab w:val="left" w:pos="745"/>
        </w:tabs>
        <w:spacing w:line="322" w:lineRule="auto"/>
        <w:ind w:firstLine="600" w:firstLineChars="300"/>
        <w:jc w:val="both"/>
        <w:rPr>
          <w:rFonts w:ascii="宋体" w:hAnsi="宋体"/>
          <w:color w:val="auto"/>
          <w:sz w:val="18"/>
          <w:lang w:val="zh-TW" w:eastAsia="zh-TW" w:bidi="zh-TW"/>
        </w:rPr>
      </w:pPr>
      <w:bookmarkStart w:id="319" w:name="bookmark580"/>
      <w:bookmarkEnd w:id="319"/>
      <w:r>
        <w:rPr>
          <w:rFonts w:hint="eastAsia"/>
          <w:color w:val="auto"/>
          <w:lang w:eastAsia="zh-CN" w:bidi="zh-TW"/>
        </w:rPr>
        <w:t>1.</w:t>
      </w:r>
      <w:r>
        <w:rPr>
          <w:rFonts w:ascii="宋体" w:hAnsi="宋体"/>
          <w:color w:val="auto"/>
          <w:sz w:val="18"/>
          <w:lang w:val="zh-TW" w:eastAsia="zh-TW" w:bidi="zh-TW"/>
        </w:rPr>
        <w:t>学习进步奖：</w:t>
      </w:r>
      <w:r>
        <w:rPr>
          <w:color w:val="auto"/>
          <w:szCs w:val="20"/>
          <w:lang w:val="zh-TW" w:eastAsia="zh-TW" w:bidi="zh-TW"/>
        </w:rPr>
        <w:t>200</w:t>
      </w:r>
      <w:r>
        <w:rPr>
          <w:rFonts w:ascii="宋体" w:hAnsi="宋体"/>
          <w:color w:val="auto"/>
          <w:sz w:val="18"/>
          <w:lang w:val="zh-TW" w:eastAsia="zh-TW" w:bidi="zh-TW"/>
        </w:rPr>
        <w:t>元/学年；</w:t>
      </w:r>
    </w:p>
    <w:p>
      <w:pPr>
        <w:tabs>
          <w:tab w:val="left" w:pos="764"/>
        </w:tabs>
        <w:spacing w:line="322" w:lineRule="auto"/>
        <w:ind w:firstLine="600" w:firstLineChars="300"/>
        <w:jc w:val="both"/>
        <w:rPr>
          <w:rFonts w:ascii="宋体" w:hAnsi="宋体"/>
          <w:color w:val="auto"/>
          <w:sz w:val="18"/>
          <w:lang w:val="zh-TW" w:eastAsia="zh-TW" w:bidi="zh-TW"/>
        </w:rPr>
      </w:pPr>
      <w:bookmarkStart w:id="320" w:name="bookmark581"/>
      <w:bookmarkEnd w:id="320"/>
      <w:r>
        <w:rPr>
          <w:rFonts w:hint="eastAsia"/>
          <w:color w:val="auto"/>
          <w:lang w:eastAsia="zh-CN" w:bidi="zh-TW"/>
        </w:rPr>
        <w:t>2.</w:t>
      </w:r>
      <w:r>
        <w:rPr>
          <w:rFonts w:ascii="宋体" w:hAnsi="宋体"/>
          <w:color w:val="auto"/>
          <w:sz w:val="18"/>
          <w:lang w:val="zh-TW" w:eastAsia="zh-TW" w:bidi="zh-TW"/>
        </w:rPr>
        <w:t>重大进步奖：</w:t>
      </w:r>
      <w:r>
        <w:rPr>
          <w:color w:val="auto"/>
          <w:szCs w:val="20"/>
          <w:lang w:val="zh-TW" w:eastAsia="zh-TW" w:bidi="zh-TW"/>
        </w:rPr>
        <w:t>400</w:t>
      </w:r>
      <w:r>
        <w:rPr>
          <w:rFonts w:ascii="宋体" w:hAnsi="宋体"/>
          <w:color w:val="auto"/>
          <w:sz w:val="18"/>
          <w:lang w:val="zh-TW" w:eastAsia="zh-TW" w:bidi="zh-TW"/>
        </w:rPr>
        <w:t>元/学年；</w:t>
      </w:r>
    </w:p>
    <w:p>
      <w:pPr>
        <w:tabs>
          <w:tab w:val="left" w:pos="764"/>
        </w:tabs>
        <w:spacing w:line="307" w:lineRule="exact"/>
        <w:ind w:firstLine="600" w:firstLineChars="300"/>
        <w:rPr>
          <w:rFonts w:ascii="宋体" w:hAnsi="宋体"/>
          <w:color w:val="auto"/>
          <w:sz w:val="18"/>
          <w:lang w:val="zh-TW" w:eastAsia="zh-TW" w:bidi="zh-TW"/>
        </w:rPr>
      </w:pPr>
      <w:bookmarkStart w:id="321" w:name="bookmark582"/>
      <w:bookmarkEnd w:id="321"/>
      <w:r>
        <w:rPr>
          <w:rFonts w:hint="eastAsia"/>
          <w:color w:val="auto"/>
          <w:lang w:eastAsia="zh-CN" w:bidi="zh-TW"/>
        </w:rPr>
        <w:t>3.</w:t>
      </w:r>
      <w:r>
        <w:rPr>
          <w:rFonts w:ascii="宋体" w:hAnsi="宋体"/>
          <w:color w:val="auto"/>
          <w:sz w:val="18"/>
          <w:lang w:val="zh-TW" w:eastAsia="zh-TW" w:bidi="zh-TW"/>
        </w:rPr>
        <w:t>获奖者填写《南京航空航天大学金城学院进步奖学金获奖登记表》，归入本人档案。</w:t>
      </w:r>
    </w:p>
    <w:p>
      <w:pPr>
        <w:tabs>
          <w:tab w:val="left" w:pos="766"/>
        </w:tabs>
        <w:spacing w:line="307" w:lineRule="exact"/>
        <w:ind w:firstLine="600" w:firstLineChars="300"/>
        <w:jc w:val="both"/>
        <w:rPr>
          <w:rFonts w:ascii="宋体" w:hAnsi="宋体"/>
          <w:color w:val="auto"/>
          <w:sz w:val="18"/>
          <w:lang w:val="zh-TW" w:eastAsia="zh-TW" w:bidi="zh-TW"/>
        </w:rPr>
      </w:pPr>
      <w:bookmarkStart w:id="322" w:name="bookmark583"/>
      <w:bookmarkEnd w:id="322"/>
      <w:r>
        <w:rPr>
          <w:rFonts w:hint="eastAsia"/>
          <w:color w:val="auto"/>
          <w:lang w:eastAsia="zh-CN" w:bidi="zh-TW"/>
        </w:rPr>
        <w:t>4.</w:t>
      </w:r>
      <w:r>
        <w:rPr>
          <w:rFonts w:ascii="宋体" w:hAnsi="宋体"/>
          <w:color w:val="auto"/>
          <w:sz w:val="18"/>
          <w:lang w:val="zh-TW" w:eastAsia="zh-TW" w:bidi="zh-TW"/>
        </w:rPr>
        <w:t>进步(重大进步)奖学金与优秀学生奖学金可兼得，与学校特别奖学金不可兼得，奖金取高者。</w:t>
      </w:r>
    </w:p>
    <w:p>
      <w:pPr>
        <w:tabs>
          <w:tab w:val="left" w:pos="764"/>
        </w:tabs>
        <w:spacing w:after="220" w:line="307" w:lineRule="exact"/>
        <w:ind w:firstLine="600" w:firstLineChars="300"/>
        <w:rPr>
          <w:rFonts w:ascii="宋体" w:hAnsi="宋体"/>
          <w:color w:val="auto"/>
          <w:sz w:val="18"/>
          <w:lang w:val="zh-TW" w:eastAsia="zh-TW" w:bidi="zh-TW"/>
        </w:rPr>
      </w:pPr>
      <w:bookmarkStart w:id="323" w:name="bookmark584"/>
      <w:bookmarkEnd w:id="323"/>
      <w:r>
        <w:rPr>
          <w:rFonts w:hint="eastAsia"/>
          <w:color w:val="auto"/>
          <w:lang w:eastAsia="zh-CN" w:bidi="zh-TW"/>
        </w:rPr>
        <w:t>5.</w:t>
      </w:r>
      <w:r>
        <w:rPr>
          <w:rFonts w:ascii="宋体" w:hAnsi="宋体"/>
          <w:color w:val="auto"/>
          <w:sz w:val="18"/>
          <w:lang w:val="zh-TW" w:eastAsia="zh-TW" w:bidi="zh-TW"/>
        </w:rPr>
        <w:t>进步(重大进步)奖学金与优秀学生奖学金的表彰颁奖工作同期进行。</w:t>
      </w:r>
    </w:p>
    <w:p>
      <w:pPr>
        <w:tabs>
          <w:tab w:val="left" w:pos="946"/>
        </w:tabs>
        <w:spacing w:after="220"/>
        <w:ind w:firstLine="420"/>
        <w:rPr>
          <w:rFonts w:ascii="宋体" w:hAnsi="宋体"/>
          <w:b/>
          <w:bCs/>
          <w:color w:val="auto"/>
          <w:sz w:val="22"/>
          <w:szCs w:val="22"/>
          <w:lang w:val="zh-TW" w:eastAsia="zh-TW" w:bidi="zh-TW"/>
        </w:rPr>
      </w:pPr>
      <w:bookmarkStart w:id="324" w:name="bookmark585"/>
      <w:r>
        <w:rPr>
          <w:rFonts w:ascii="宋体" w:hAnsi="宋体"/>
          <w:b/>
          <w:bCs/>
          <w:color w:val="auto"/>
          <w:sz w:val="22"/>
          <w:szCs w:val="22"/>
          <w:lang w:val="zh-TW" w:eastAsia="zh-TW" w:bidi="zh-TW"/>
        </w:rPr>
        <w:t>四</w:t>
      </w:r>
      <w:bookmarkEnd w:id="324"/>
      <w:r>
        <w:rPr>
          <w:rFonts w:ascii="宋体" w:hAnsi="宋体"/>
          <w:b/>
          <w:bCs/>
          <w:color w:val="auto"/>
          <w:sz w:val="22"/>
          <w:szCs w:val="22"/>
          <w:lang w:val="zh-TW" w:eastAsia="zh-TW" w:bidi="zh-TW"/>
        </w:rPr>
        <w:t>、本办法由学生工作处负责解释</w:t>
      </w:r>
    </w:p>
    <w:p>
      <w:pPr>
        <w:tabs>
          <w:tab w:val="left" w:pos="946"/>
        </w:tabs>
        <w:spacing w:after="220"/>
        <w:ind w:firstLine="420"/>
        <w:rPr>
          <w:rFonts w:ascii="宋体" w:hAnsi="宋体"/>
          <w:color w:val="auto"/>
          <w:sz w:val="22"/>
          <w:szCs w:val="22"/>
          <w:lang w:val="zh-TW" w:eastAsia="zh-TW" w:bidi="zh-TW"/>
        </w:rPr>
      </w:pPr>
    </w:p>
    <w:p>
      <w:pPr>
        <w:tabs>
          <w:tab w:val="left" w:pos="946"/>
        </w:tabs>
        <w:spacing w:after="220"/>
        <w:ind w:firstLine="420"/>
        <w:rPr>
          <w:rFonts w:ascii="宋体" w:hAnsi="宋体"/>
          <w:color w:val="auto"/>
          <w:sz w:val="22"/>
          <w:szCs w:val="22"/>
          <w:lang w:val="zh-TW" w:eastAsia="zh-TW" w:bidi="zh-TW"/>
        </w:rPr>
        <w:sectPr>
          <w:pgSz w:w="9800" w:h="15120"/>
          <w:pgMar w:top="1043" w:right="652" w:bottom="987" w:left="663" w:header="0" w:footer="3" w:gutter="0"/>
          <w:pgNumType w:fmt="decimal"/>
          <w:cols w:space="720" w:num="1"/>
          <w:docGrid w:linePitch="360" w:charSpace="0"/>
        </w:sectPr>
      </w:pPr>
    </w:p>
    <w:bookmarkEnd w:id="267"/>
    <w:bookmarkEnd w:id="268"/>
    <w:bookmarkEnd w:id="269"/>
    <w:p>
      <w:pPr>
        <w:keepNext/>
        <w:keepLines/>
        <w:spacing w:after="360" w:line="600" w:lineRule="exact"/>
        <w:ind w:left="2340" w:leftChars="980" w:hanging="380" w:hangingChars="100"/>
        <w:jc w:val="both"/>
        <w:outlineLvl w:val="0"/>
        <w:rPr>
          <w:rFonts w:ascii="宋体" w:hAnsi="宋体"/>
          <w:color w:val="auto"/>
          <w:sz w:val="38"/>
          <w:szCs w:val="38"/>
          <w:highlight w:val="none"/>
          <w:lang w:val="zh-TW" w:eastAsia="zh-TW" w:bidi="zh-TW"/>
        </w:rPr>
      </w:pPr>
      <w:bookmarkStart w:id="325" w:name="bookmark588"/>
      <w:bookmarkStart w:id="326" w:name="bookmark587"/>
      <w:bookmarkStart w:id="327" w:name="bookmark586"/>
      <w:bookmarkStart w:id="328" w:name="bookmark816"/>
      <w:bookmarkStart w:id="329" w:name="bookmark817"/>
      <w:bookmarkStart w:id="330" w:name="bookmark818"/>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通令嘉奖实施暂行办法</w:t>
      </w:r>
      <w:bookmarkEnd w:id="325"/>
      <w:bookmarkEnd w:id="326"/>
      <w:bookmarkEnd w:id="327"/>
    </w:p>
    <w:p>
      <w:pPr>
        <w:spacing w:line="305"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第一条</w:t>
      </w:r>
      <w:r>
        <w:rPr>
          <w:rFonts w:ascii="宋体" w:hAnsi="宋体"/>
          <w:color w:val="auto"/>
          <w:sz w:val="18"/>
          <w:lang w:val="zh-TW" w:eastAsia="zh-TW" w:bidi="zh-TW"/>
        </w:rPr>
        <w:t>为倡导良好风气，优化育人环境，激励学生刻苦学习、崇尚实践、志存高远、健康成长成才，学校决定对表现突出的学生进行通令嘉奖。</w:t>
      </w:r>
    </w:p>
    <w:p>
      <w:pPr>
        <w:spacing w:line="305"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第二条</w:t>
      </w:r>
      <w:r>
        <w:rPr>
          <w:rFonts w:ascii="宋体" w:hAnsi="宋体"/>
          <w:color w:val="auto"/>
          <w:sz w:val="18"/>
          <w:lang w:val="zh-TW" w:eastAsia="zh-TW" w:bidi="zh-TW"/>
        </w:rPr>
        <w:t>通令嘉奖对象为学校全日制本科学生中模范遵守国家法律校纪校规，在思想政治、专业学习、社会实践、志愿服务、学术科技、创新创业、文体活动及社会工作等方面为学校、社会做出突出贡献的个人或集体。</w:t>
      </w:r>
    </w:p>
    <w:p>
      <w:pPr>
        <w:tabs>
          <w:tab w:val="left" w:pos="745"/>
        </w:tabs>
        <w:spacing w:line="305" w:lineRule="exact"/>
        <w:ind w:firstLine="600" w:firstLineChars="300"/>
        <w:jc w:val="both"/>
        <w:rPr>
          <w:rFonts w:ascii="宋体" w:hAnsi="宋体"/>
          <w:color w:val="auto"/>
          <w:sz w:val="18"/>
          <w:lang w:val="zh-TW" w:eastAsia="zh-CN" w:bidi="zh-TW"/>
        </w:rPr>
      </w:pPr>
      <w:bookmarkStart w:id="331" w:name="bookmark589"/>
      <w:bookmarkEnd w:id="331"/>
      <w:r>
        <w:rPr>
          <w:rFonts w:hint="eastAsia"/>
          <w:color w:val="auto"/>
          <w:lang w:eastAsia="zh-CN" w:bidi="zh-TW"/>
        </w:rPr>
        <w:t>1.</w:t>
      </w:r>
      <w:r>
        <w:rPr>
          <w:rFonts w:ascii="宋体" w:hAnsi="宋体"/>
          <w:color w:val="auto"/>
          <w:sz w:val="18"/>
          <w:lang w:val="zh-TW" w:eastAsia="zh-TW" w:bidi="zh-TW"/>
        </w:rPr>
        <w:t>思想政治素质高，自强自律，因表现突出获得国家级荣誉称号者</w:t>
      </w:r>
      <w:r>
        <w:rPr>
          <w:rFonts w:hint="eastAsia" w:ascii="宋体" w:hAnsi="宋体"/>
          <w:color w:val="auto"/>
          <w:sz w:val="18"/>
          <w:lang w:val="zh-TW" w:eastAsia="zh-CN" w:bidi="zh-TW"/>
        </w:rPr>
        <w:t>。</w:t>
      </w:r>
    </w:p>
    <w:p>
      <w:pPr>
        <w:tabs>
          <w:tab w:val="left" w:pos="764"/>
        </w:tabs>
        <w:spacing w:line="305" w:lineRule="exact"/>
        <w:ind w:firstLine="600" w:firstLineChars="300"/>
        <w:jc w:val="both"/>
        <w:rPr>
          <w:rFonts w:ascii="宋体" w:hAnsi="宋体"/>
          <w:color w:val="auto"/>
          <w:sz w:val="18"/>
          <w:lang w:val="zh-TW" w:eastAsia="zh-CN" w:bidi="zh-TW"/>
        </w:rPr>
      </w:pPr>
      <w:bookmarkStart w:id="332" w:name="bookmark590"/>
      <w:bookmarkEnd w:id="332"/>
      <w:r>
        <w:rPr>
          <w:rFonts w:hint="eastAsia"/>
          <w:color w:val="auto"/>
          <w:lang w:eastAsia="zh-CN" w:bidi="zh-TW"/>
        </w:rPr>
        <w:t>2.</w:t>
      </w:r>
      <w:r>
        <w:rPr>
          <w:rFonts w:ascii="宋体" w:hAnsi="宋体"/>
          <w:color w:val="auto"/>
          <w:sz w:val="18"/>
          <w:lang w:val="zh-TW" w:eastAsia="zh-TW" w:bidi="zh-TW"/>
        </w:rPr>
        <w:t>有见义勇为、助人为乐、拾金不昧等方面的突出事迹并在校内外产生较大影响者</w:t>
      </w:r>
      <w:r>
        <w:rPr>
          <w:rFonts w:hint="eastAsia" w:ascii="宋体" w:hAnsi="宋体"/>
          <w:color w:val="auto"/>
          <w:sz w:val="18"/>
          <w:lang w:val="zh-TW" w:eastAsia="zh-CN" w:bidi="zh-TW"/>
        </w:rPr>
        <w:t>。</w:t>
      </w:r>
    </w:p>
    <w:p>
      <w:pPr>
        <w:tabs>
          <w:tab w:val="left" w:pos="776"/>
        </w:tabs>
        <w:spacing w:line="305" w:lineRule="exact"/>
        <w:ind w:firstLine="600" w:firstLineChars="300"/>
        <w:jc w:val="both"/>
        <w:rPr>
          <w:rFonts w:ascii="宋体" w:hAnsi="宋体"/>
          <w:color w:val="auto"/>
          <w:sz w:val="18"/>
          <w:lang w:val="zh-TW" w:eastAsia="zh-CN" w:bidi="zh-TW"/>
        </w:rPr>
      </w:pPr>
      <w:bookmarkStart w:id="333" w:name="bookmark591"/>
      <w:bookmarkEnd w:id="333"/>
      <w:r>
        <w:rPr>
          <w:rFonts w:hint="eastAsia"/>
          <w:color w:val="auto"/>
          <w:lang w:eastAsia="zh-CN" w:bidi="zh-TW"/>
        </w:rPr>
        <w:t>3.</w:t>
      </w:r>
      <w:r>
        <w:rPr>
          <w:rFonts w:ascii="宋体" w:hAnsi="宋体"/>
          <w:color w:val="auto"/>
          <w:sz w:val="18"/>
          <w:lang w:val="zh-TW" w:eastAsia="zh-TW" w:bidi="zh-TW"/>
        </w:rPr>
        <w:t>在校期间获得专业、科技、创新、文体等学校认可的大型比赛省级一等奖、国家级二等奖及以上者或取得突破性成绩，为学校赢得荣誉者</w:t>
      </w:r>
      <w:r>
        <w:rPr>
          <w:rFonts w:hint="eastAsia" w:ascii="宋体" w:hAnsi="宋体"/>
          <w:color w:val="auto"/>
          <w:sz w:val="18"/>
          <w:lang w:val="zh-TW" w:eastAsia="zh-CN" w:bidi="zh-TW"/>
        </w:rPr>
        <w:t>。</w:t>
      </w:r>
    </w:p>
    <w:p>
      <w:pPr>
        <w:tabs>
          <w:tab w:val="left" w:pos="771"/>
        </w:tabs>
        <w:spacing w:line="305" w:lineRule="exact"/>
        <w:ind w:firstLine="600" w:firstLineChars="300"/>
        <w:jc w:val="both"/>
        <w:rPr>
          <w:rFonts w:ascii="宋体" w:hAnsi="宋体"/>
          <w:color w:val="auto"/>
          <w:sz w:val="18"/>
          <w:lang w:val="zh-TW" w:eastAsia="zh-CN" w:bidi="zh-TW"/>
        </w:rPr>
      </w:pPr>
      <w:bookmarkStart w:id="334" w:name="bookmark592"/>
      <w:bookmarkEnd w:id="334"/>
      <w:r>
        <w:rPr>
          <w:rFonts w:hint="eastAsia"/>
          <w:color w:val="auto"/>
          <w:lang w:eastAsia="zh-CN" w:bidi="zh-TW"/>
        </w:rPr>
        <w:t>4.</w:t>
      </w:r>
      <w:r>
        <w:rPr>
          <w:rFonts w:ascii="宋体" w:hAnsi="宋体"/>
          <w:color w:val="auto"/>
          <w:sz w:val="18"/>
          <w:lang w:val="zh-TW" w:eastAsia="zh-TW" w:bidi="zh-TW"/>
        </w:rPr>
        <w:t>因科技发明、科技创新受到省（市）级以上表彰，或其成果通过专家鉴定并能取得较好社会效益者</w:t>
      </w:r>
      <w:r>
        <w:rPr>
          <w:rFonts w:hint="eastAsia" w:ascii="宋体" w:hAnsi="宋体"/>
          <w:color w:val="auto"/>
          <w:sz w:val="18"/>
          <w:lang w:val="zh-TW" w:eastAsia="zh-CN" w:bidi="zh-TW"/>
        </w:rPr>
        <w:t>。</w:t>
      </w:r>
    </w:p>
    <w:p>
      <w:pPr>
        <w:tabs>
          <w:tab w:val="left" w:pos="771"/>
        </w:tabs>
        <w:spacing w:line="305" w:lineRule="exact"/>
        <w:ind w:firstLine="600" w:firstLineChars="300"/>
        <w:jc w:val="both"/>
        <w:rPr>
          <w:rFonts w:ascii="宋体" w:hAnsi="宋体"/>
          <w:color w:val="auto"/>
          <w:sz w:val="18"/>
          <w:lang w:val="zh-TW" w:eastAsia="zh-CN" w:bidi="zh-TW"/>
        </w:rPr>
      </w:pPr>
      <w:bookmarkStart w:id="335" w:name="bookmark593"/>
      <w:bookmarkEnd w:id="335"/>
      <w:r>
        <w:rPr>
          <w:rFonts w:hint="eastAsia"/>
          <w:color w:val="auto"/>
          <w:lang w:eastAsia="zh-CN" w:bidi="zh-TW"/>
        </w:rPr>
        <w:t>5.</w:t>
      </w:r>
      <w:r>
        <w:rPr>
          <w:rFonts w:ascii="宋体" w:hAnsi="宋体"/>
          <w:color w:val="auto"/>
          <w:sz w:val="18"/>
          <w:lang w:val="zh-TW" w:eastAsia="zh-TW" w:bidi="zh-TW"/>
        </w:rPr>
        <w:t>在社会实践活动、志愿服务或文化活动、社会工作中做出突出贡献、受到省（市）级以上表彰或为学校赢得荣誉者</w:t>
      </w:r>
      <w:r>
        <w:rPr>
          <w:rFonts w:hint="eastAsia" w:ascii="宋体" w:hAnsi="宋体"/>
          <w:color w:val="auto"/>
          <w:sz w:val="18"/>
          <w:lang w:val="zh-TW" w:eastAsia="zh-CN" w:bidi="zh-TW"/>
        </w:rPr>
        <w:t>。</w:t>
      </w:r>
    </w:p>
    <w:p>
      <w:pPr>
        <w:tabs>
          <w:tab w:val="left" w:pos="771"/>
        </w:tabs>
        <w:spacing w:line="305" w:lineRule="exact"/>
        <w:ind w:firstLine="600" w:firstLineChars="300"/>
        <w:jc w:val="both"/>
        <w:rPr>
          <w:rFonts w:ascii="宋体" w:hAnsi="宋体"/>
          <w:color w:val="auto"/>
          <w:sz w:val="18"/>
          <w:lang w:val="zh-TW" w:eastAsia="zh-CN" w:bidi="zh-TW"/>
        </w:rPr>
      </w:pPr>
      <w:bookmarkStart w:id="336" w:name="bookmark594"/>
      <w:bookmarkEnd w:id="336"/>
      <w:r>
        <w:rPr>
          <w:rFonts w:hint="eastAsia"/>
          <w:color w:val="auto"/>
          <w:lang w:eastAsia="zh-CN" w:bidi="zh-TW"/>
        </w:rPr>
        <w:t>6.</w:t>
      </w:r>
      <w:r>
        <w:rPr>
          <w:rFonts w:ascii="宋体" w:hAnsi="宋体"/>
          <w:color w:val="auto"/>
          <w:sz w:val="18"/>
          <w:lang w:val="zh-TW" w:eastAsia="zh-TW" w:bidi="zh-TW"/>
        </w:rPr>
        <w:t>在校期间，以第一作者在南京航空航天大学规定的省级以上核心期刊上发表学术论文或所发表论文被</w:t>
      </w:r>
      <w:r>
        <w:rPr>
          <w:color w:val="auto"/>
          <w:szCs w:val="20"/>
          <w:lang w:eastAsia="zh-CN"/>
        </w:rPr>
        <w:t>SSCI</w:t>
      </w:r>
      <w:r>
        <w:rPr>
          <w:rFonts w:ascii="宋体" w:hAnsi="宋体"/>
          <w:color w:val="auto"/>
          <w:sz w:val="18"/>
          <w:lang w:eastAsia="zh-CN"/>
        </w:rPr>
        <w:t>、</w:t>
      </w:r>
      <w:r>
        <w:rPr>
          <w:color w:val="auto"/>
          <w:szCs w:val="20"/>
          <w:lang w:eastAsia="zh-CN"/>
        </w:rPr>
        <w:t>SCI</w:t>
      </w:r>
      <w:r>
        <w:rPr>
          <w:rFonts w:ascii="宋体" w:hAnsi="宋体"/>
          <w:color w:val="auto"/>
          <w:sz w:val="18"/>
          <w:lang w:eastAsia="zh-CN"/>
        </w:rPr>
        <w:t>、</w:t>
      </w:r>
      <w:r>
        <w:rPr>
          <w:color w:val="auto"/>
          <w:szCs w:val="20"/>
          <w:lang w:eastAsia="zh-CN"/>
        </w:rPr>
        <w:t>El</w:t>
      </w:r>
      <w:r>
        <w:rPr>
          <w:rFonts w:ascii="宋体" w:hAnsi="宋体"/>
          <w:color w:val="auto"/>
          <w:sz w:val="18"/>
          <w:lang w:eastAsia="zh-CN"/>
        </w:rPr>
        <w:t>、</w:t>
      </w:r>
      <w:r>
        <w:rPr>
          <w:color w:val="auto"/>
          <w:szCs w:val="20"/>
          <w:lang w:eastAsia="zh-CN"/>
        </w:rPr>
        <w:t>ISTP</w:t>
      </w:r>
      <w:r>
        <w:rPr>
          <w:rFonts w:ascii="宋体" w:hAnsi="宋体"/>
          <w:color w:val="auto"/>
          <w:sz w:val="18"/>
          <w:lang w:val="zh-TW" w:eastAsia="zh-TW" w:bidi="zh-TW"/>
        </w:rPr>
        <w:t>资料索引之一检索者或者人大复印资料全文复印者</w:t>
      </w:r>
      <w:r>
        <w:rPr>
          <w:rFonts w:hint="eastAsia" w:ascii="宋体" w:hAnsi="宋体"/>
          <w:color w:val="auto"/>
          <w:sz w:val="18"/>
          <w:lang w:val="zh-TW" w:eastAsia="zh-CN" w:bidi="zh-TW"/>
        </w:rPr>
        <w:t>。</w:t>
      </w:r>
    </w:p>
    <w:p>
      <w:pPr>
        <w:tabs>
          <w:tab w:val="left" w:pos="769"/>
        </w:tabs>
        <w:spacing w:line="305" w:lineRule="exact"/>
        <w:ind w:firstLine="600" w:firstLineChars="300"/>
        <w:jc w:val="both"/>
        <w:rPr>
          <w:rFonts w:ascii="宋体" w:hAnsi="宋体"/>
          <w:color w:val="auto"/>
          <w:sz w:val="18"/>
          <w:lang w:val="zh-TW" w:eastAsia="zh-CN" w:bidi="zh-TW"/>
        </w:rPr>
      </w:pPr>
      <w:bookmarkStart w:id="337" w:name="bookmark595"/>
      <w:bookmarkEnd w:id="337"/>
      <w:r>
        <w:rPr>
          <w:rFonts w:hint="eastAsia"/>
          <w:color w:val="auto"/>
          <w:lang w:eastAsia="zh-CN" w:bidi="zh-TW"/>
        </w:rPr>
        <w:t>7.</w:t>
      </w:r>
      <w:r>
        <w:rPr>
          <w:rFonts w:ascii="宋体" w:hAnsi="宋体"/>
          <w:color w:val="auto"/>
          <w:sz w:val="18"/>
          <w:lang w:val="zh-TW" w:eastAsia="zh-TW" w:bidi="zh-TW"/>
        </w:rPr>
        <w:t>在校期间，因个人其他事迹在省内及以上产生良好社会影响，为学校赢得声誉者</w:t>
      </w:r>
      <w:r>
        <w:rPr>
          <w:rFonts w:hint="eastAsia" w:ascii="宋体" w:hAnsi="宋体"/>
          <w:color w:val="auto"/>
          <w:sz w:val="18"/>
          <w:lang w:val="zh-TW" w:eastAsia="zh-CN" w:bidi="zh-TW"/>
        </w:rPr>
        <w:t>。</w:t>
      </w:r>
    </w:p>
    <w:p>
      <w:pPr>
        <w:tabs>
          <w:tab w:val="left" w:pos="769"/>
        </w:tabs>
        <w:spacing w:line="305" w:lineRule="exact"/>
        <w:ind w:firstLine="600" w:firstLineChars="300"/>
        <w:jc w:val="both"/>
        <w:rPr>
          <w:rFonts w:ascii="宋体" w:hAnsi="宋体"/>
          <w:color w:val="auto"/>
          <w:sz w:val="18"/>
          <w:lang w:val="zh-TW" w:eastAsia="zh-TW" w:bidi="zh-TW"/>
        </w:rPr>
      </w:pPr>
      <w:bookmarkStart w:id="338" w:name="bookmark596"/>
      <w:bookmarkEnd w:id="338"/>
      <w:r>
        <w:rPr>
          <w:rFonts w:hint="eastAsia"/>
          <w:color w:val="auto"/>
          <w:lang w:eastAsia="zh-CN" w:bidi="zh-TW"/>
        </w:rPr>
        <w:t>8.</w:t>
      </w:r>
      <w:r>
        <w:rPr>
          <w:rFonts w:ascii="宋体" w:hAnsi="宋体"/>
          <w:color w:val="auto"/>
          <w:sz w:val="18"/>
          <w:lang w:val="zh-TW" w:eastAsia="zh-TW" w:bidi="zh-TW"/>
        </w:rPr>
        <w:t>经学校研究认定，有其它突出表现或突出贡献者。</w:t>
      </w:r>
    </w:p>
    <w:p>
      <w:pPr>
        <w:spacing w:line="305"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第三条</w:t>
      </w:r>
      <w:r>
        <w:rPr>
          <w:rFonts w:ascii="宋体" w:hAnsi="宋体"/>
          <w:color w:val="auto"/>
          <w:sz w:val="18"/>
          <w:lang w:val="zh-TW" w:eastAsia="zh-TW" w:bidi="zh-TW"/>
        </w:rPr>
        <w:t>通令嘉奖的日常管理工作由学生工作处负责；学校各相关单位和学院负责收集相关信息并及时报送。</w:t>
      </w:r>
    </w:p>
    <w:p>
      <w:pPr>
        <w:spacing w:line="305"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第四条</w:t>
      </w:r>
      <w:r>
        <w:rPr>
          <w:rFonts w:ascii="宋体" w:hAnsi="宋体"/>
          <w:color w:val="auto"/>
          <w:sz w:val="18"/>
          <w:lang w:val="zh-TW" w:eastAsia="zh-TW" w:bidi="zh-TW"/>
        </w:rPr>
        <w:t>由校长签发嘉奖令，对获得通令嘉奖的学生个人或集体进行表彰。</w:t>
      </w:r>
    </w:p>
    <w:p>
      <w:pPr>
        <w:spacing w:line="305"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第五条</w:t>
      </w:r>
      <w:r>
        <w:rPr>
          <w:rFonts w:ascii="宋体" w:hAnsi="宋体"/>
          <w:color w:val="auto"/>
          <w:sz w:val="18"/>
          <w:lang w:val="zh-TW" w:eastAsia="zh-TW" w:bidi="zh-TW"/>
        </w:rPr>
        <w:t>获通令嘉奖的学生个人或集体填写《南京航空航天大学金城学院通令嘉奖登记表》，归入本人档案。</w:t>
      </w:r>
    </w:p>
    <w:p>
      <w:pPr>
        <w:spacing w:line="305"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第六条</w:t>
      </w:r>
      <w:r>
        <w:rPr>
          <w:rFonts w:ascii="宋体" w:hAnsi="宋体"/>
          <w:color w:val="auto"/>
          <w:sz w:val="18"/>
          <w:lang w:val="zh-TW" w:eastAsia="zh-TW" w:bidi="zh-TW"/>
        </w:rPr>
        <w:t>本办法由学生工作处负责解释。</w:t>
      </w:r>
    </w:p>
    <w:p>
      <w:pPr>
        <w:spacing w:line="305"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第七条</w:t>
      </w:r>
      <w:r>
        <w:rPr>
          <w:rFonts w:ascii="宋体" w:hAnsi="宋体"/>
          <w:color w:val="auto"/>
          <w:sz w:val="18"/>
          <w:lang w:val="zh-TW" w:eastAsia="zh-TW" w:bidi="zh-TW"/>
        </w:rPr>
        <w:t>本办法自公布之日起实施。</w:t>
      </w:r>
    </w:p>
    <w:p>
      <w:pPr>
        <w:spacing w:line="305" w:lineRule="exact"/>
        <w:ind w:firstLine="420"/>
        <w:jc w:val="both"/>
        <w:rPr>
          <w:rFonts w:ascii="宋体" w:hAnsi="宋体"/>
          <w:color w:val="auto"/>
          <w:sz w:val="18"/>
          <w:lang w:val="zh-TW" w:eastAsia="zh-TW" w:bidi="zh-TW"/>
        </w:rPr>
      </w:pPr>
    </w:p>
    <w:p>
      <w:pPr>
        <w:spacing w:line="305" w:lineRule="exact"/>
        <w:ind w:firstLine="420"/>
        <w:jc w:val="both"/>
        <w:rPr>
          <w:rFonts w:ascii="宋体" w:hAnsi="宋体"/>
          <w:color w:val="auto"/>
          <w:sz w:val="18"/>
          <w:lang w:val="zh-TW" w:eastAsia="zh-TW" w:bidi="zh-TW"/>
        </w:rPr>
        <w:sectPr>
          <w:pgSz w:w="9800" w:h="15120"/>
          <w:pgMar w:top="1043" w:right="652" w:bottom="987" w:left="663" w:header="0" w:footer="3" w:gutter="0"/>
          <w:pgNumType w:fmt="decimal"/>
          <w:cols w:space="720" w:num="1"/>
          <w:docGrid w:linePitch="360" w:charSpace="0"/>
        </w:sectPr>
      </w:pPr>
    </w:p>
    <w:p>
      <w:pPr>
        <w:keepNext/>
        <w:keepLines/>
        <w:spacing w:before="800" w:after="140" w:line="595" w:lineRule="exact"/>
        <w:jc w:val="center"/>
        <w:outlineLvl w:val="0"/>
        <w:rPr>
          <w:rFonts w:ascii="宋体" w:hAnsi="宋体"/>
          <w:color w:val="auto"/>
          <w:sz w:val="38"/>
          <w:szCs w:val="38"/>
          <w:highlight w:val="none"/>
          <w:lang w:val="zh-TW" w:eastAsia="zh-TW" w:bidi="zh-TW"/>
        </w:rPr>
      </w:pPr>
      <w:bookmarkStart w:id="339" w:name="bookmark597"/>
      <w:bookmarkStart w:id="340" w:name="bookmark599"/>
      <w:bookmarkStart w:id="341" w:name="bookmark598"/>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特别奖学金实施办法</w:t>
      </w:r>
      <w:bookmarkEnd w:id="339"/>
      <w:bookmarkEnd w:id="340"/>
      <w:bookmarkEnd w:id="341"/>
    </w:p>
    <w:p>
      <w:pPr>
        <w:spacing w:after="140"/>
        <w:ind w:firstLine="420"/>
        <w:jc w:val="both"/>
        <w:rPr>
          <w:rFonts w:ascii="宋体" w:hAnsi="宋体"/>
          <w:b/>
          <w:bCs/>
          <w:color w:val="auto"/>
          <w:sz w:val="22"/>
          <w:szCs w:val="22"/>
          <w:lang w:val="zh-TW" w:eastAsia="zh-TW" w:bidi="zh-TW"/>
        </w:rPr>
      </w:pPr>
      <w:r>
        <w:rPr>
          <w:rFonts w:ascii="宋体" w:hAnsi="宋体"/>
          <w:b/>
          <w:bCs/>
          <w:color w:val="auto"/>
          <w:sz w:val="22"/>
          <w:szCs w:val="22"/>
          <w:lang w:val="zh-TW" w:eastAsia="zh-TW" w:bidi="zh-TW"/>
        </w:rPr>
        <w:t>—、总则</w:t>
      </w:r>
    </w:p>
    <w:p>
      <w:pPr>
        <w:spacing w:after="240" w:line="300" w:lineRule="exact"/>
        <w:ind w:firstLine="420"/>
        <w:jc w:val="both"/>
        <w:rPr>
          <w:rFonts w:ascii="宋体" w:hAnsi="宋体"/>
          <w:color w:val="auto"/>
          <w:sz w:val="18"/>
          <w:lang w:val="zh-TW" w:eastAsia="zh-TW" w:bidi="zh-TW"/>
        </w:rPr>
      </w:pPr>
      <w:r>
        <w:rPr>
          <w:rFonts w:ascii="宋体" w:hAnsi="宋体"/>
          <w:color w:val="auto"/>
          <w:sz w:val="18"/>
          <w:lang w:val="zh-TW" w:eastAsia="zh-TW" w:bidi="zh-TW"/>
        </w:rPr>
        <w:t>南京航空航天大学金城学院特别奖学金是用于奖励或资助品学兼优、全面发展以及某些方面或某些专业成绩突出的在校生。</w:t>
      </w:r>
      <w:r>
        <w:rPr>
          <w:rFonts w:hint="eastAsia" w:ascii="宋体" w:hAnsi="宋体"/>
          <w:color w:val="auto"/>
          <w:sz w:val="18"/>
          <w:lang w:val="zh-TW" w:eastAsia="zh-CN" w:bidi="zh-TW"/>
        </w:rPr>
        <w:t>其目的是激励大学生勤奋学习、努力进取，在德、智、体、美、劳等方面全面发展。</w:t>
      </w:r>
    </w:p>
    <w:p>
      <w:pPr>
        <w:tabs>
          <w:tab w:val="left" w:pos="946"/>
        </w:tabs>
        <w:spacing w:after="140"/>
        <w:ind w:firstLine="420"/>
        <w:jc w:val="both"/>
        <w:rPr>
          <w:rFonts w:ascii="宋体" w:hAnsi="宋体"/>
          <w:b/>
          <w:bCs/>
          <w:color w:val="auto"/>
          <w:sz w:val="22"/>
          <w:szCs w:val="22"/>
          <w:lang w:val="zh-TW" w:eastAsia="zh-TW" w:bidi="zh-TW"/>
        </w:rPr>
      </w:pPr>
      <w:bookmarkStart w:id="342" w:name="bookmark600"/>
      <w:r>
        <w:rPr>
          <w:rFonts w:ascii="宋体" w:hAnsi="宋体"/>
          <w:b/>
          <w:bCs/>
          <w:color w:val="auto"/>
          <w:sz w:val="22"/>
          <w:szCs w:val="22"/>
          <w:lang w:val="zh-TW" w:eastAsia="zh-TW" w:bidi="zh-TW"/>
        </w:rPr>
        <w:t>二</w:t>
      </w:r>
      <w:bookmarkEnd w:id="342"/>
      <w:r>
        <w:rPr>
          <w:rFonts w:ascii="宋体" w:hAnsi="宋体"/>
          <w:b/>
          <w:bCs/>
          <w:color w:val="auto"/>
          <w:sz w:val="22"/>
          <w:szCs w:val="22"/>
          <w:lang w:val="zh-TW" w:eastAsia="zh-TW" w:bidi="zh-TW"/>
        </w:rPr>
        <w:t>、组织机构</w:t>
      </w:r>
    </w:p>
    <w:p>
      <w:pPr>
        <w:tabs>
          <w:tab w:val="left" w:pos="946"/>
        </w:tabs>
        <w:spacing w:after="140"/>
        <w:ind w:firstLine="420"/>
        <w:jc w:val="both"/>
        <w:rPr>
          <w:rFonts w:ascii="宋体" w:hAnsi="宋体"/>
          <w:b/>
          <w:bCs/>
          <w:color w:val="auto"/>
          <w:sz w:val="22"/>
          <w:szCs w:val="22"/>
          <w:lang w:val="zh-TW" w:eastAsia="zh-TW" w:bidi="zh-TW"/>
        </w:rPr>
      </w:pPr>
      <w:r>
        <w:rPr>
          <w:rFonts w:ascii="宋体" w:hAnsi="宋体"/>
          <w:color w:val="auto"/>
          <w:sz w:val="18"/>
          <w:lang w:val="zh-TW" w:eastAsia="zh-TW" w:bidi="zh-TW"/>
        </w:rPr>
        <w:t>成立南京航空航天大学金城学院特别奖学金评审委员会（以下简称评委会）。</w:t>
      </w:r>
      <w:r>
        <w:rPr>
          <w:rFonts w:hint="eastAsia" w:ascii="宋体" w:hAnsi="宋体"/>
          <w:color w:val="auto"/>
          <w:sz w:val="18"/>
          <w:lang w:val="zh-TW" w:eastAsia="zh-TW" w:bidi="zh-TW"/>
        </w:rPr>
        <w:t>评审委员会由分管校领导</w:t>
      </w:r>
      <w:r>
        <w:rPr>
          <w:rFonts w:hint="eastAsia" w:ascii="宋体" w:hAnsi="宋体"/>
          <w:color w:val="auto"/>
          <w:sz w:val="18"/>
          <w:lang w:val="zh-TW" w:eastAsia="zh-CN" w:bidi="zh-TW"/>
        </w:rPr>
        <w:t>、</w:t>
      </w:r>
      <w:r>
        <w:rPr>
          <w:rFonts w:hint="eastAsia" w:ascii="宋体" w:hAnsi="宋体"/>
          <w:color w:val="auto"/>
          <w:sz w:val="18"/>
          <w:lang w:val="zh-TW" w:eastAsia="zh-TW" w:bidi="zh-TW"/>
        </w:rPr>
        <w:t>党群工作部、学生工作处（团委）、教学科研处、财务处、国际教育学院负责同志，各教学单位负责同志，教师代表（不少于2名），学生代表（不少于2名）组成。下设评审办公室，办公室设在学生工作处。</w:t>
      </w:r>
      <w:bookmarkStart w:id="343" w:name="bookmark601"/>
    </w:p>
    <w:p>
      <w:pPr>
        <w:tabs>
          <w:tab w:val="left" w:pos="946"/>
        </w:tabs>
        <w:spacing w:after="140"/>
        <w:ind w:firstLine="420"/>
        <w:jc w:val="both"/>
        <w:rPr>
          <w:rFonts w:ascii="宋体" w:hAnsi="宋体"/>
          <w:b/>
          <w:bCs/>
          <w:color w:val="auto"/>
          <w:sz w:val="22"/>
          <w:szCs w:val="22"/>
          <w:lang w:val="zh-TW" w:eastAsia="zh-TW" w:bidi="zh-TW"/>
        </w:rPr>
      </w:pPr>
      <w:r>
        <w:rPr>
          <w:rFonts w:ascii="宋体" w:hAnsi="宋体"/>
          <w:b/>
          <w:bCs/>
          <w:color w:val="auto"/>
          <w:sz w:val="22"/>
          <w:szCs w:val="22"/>
          <w:lang w:val="zh-TW" w:eastAsia="zh-TW" w:bidi="zh-TW"/>
        </w:rPr>
        <w:t>三</w:t>
      </w:r>
      <w:bookmarkEnd w:id="343"/>
      <w:r>
        <w:rPr>
          <w:rFonts w:ascii="宋体" w:hAnsi="宋体"/>
          <w:b/>
          <w:bCs/>
          <w:color w:val="auto"/>
          <w:sz w:val="22"/>
          <w:szCs w:val="22"/>
          <w:lang w:val="zh-TW" w:eastAsia="zh-TW" w:bidi="zh-TW"/>
        </w:rPr>
        <w:t>、特别奖学金的设立</w:t>
      </w:r>
    </w:p>
    <w:p>
      <w:pPr>
        <w:spacing w:line="306"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w:t>
      </w:r>
      <w:r>
        <w:rPr>
          <w:rFonts w:ascii="宋体" w:hAnsi="宋体"/>
          <w:color w:val="auto"/>
          <w:sz w:val="18"/>
          <w:lang w:val="zh-CN" w:eastAsia="zh-CN" w:bidi="zh-CN"/>
        </w:rPr>
        <w:t>“榜样</w:t>
      </w:r>
      <w:r>
        <w:rPr>
          <w:rFonts w:ascii="宋体" w:hAnsi="宋体"/>
          <w:color w:val="auto"/>
          <w:sz w:val="18"/>
          <w:lang w:val="zh-TW" w:eastAsia="zh-TW" w:bidi="zh-TW"/>
        </w:rPr>
        <w:t>金城</w:t>
      </w:r>
      <w:r>
        <w:rPr>
          <w:rFonts w:hint="eastAsia" w:ascii="宋体" w:hAnsi="宋体"/>
          <w:color w:val="auto"/>
          <w:sz w:val="18"/>
          <w:lang w:val="zh-TW" w:eastAsia="zh-CN" w:bidi="zh-TW"/>
        </w:rPr>
        <w:t>”</w:t>
      </w:r>
      <w:r>
        <w:rPr>
          <w:rFonts w:ascii="宋体" w:hAnsi="宋体"/>
          <w:color w:val="auto"/>
          <w:sz w:val="18"/>
          <w:lang w:val="zh-TW" w:eastAsia="zh-TW" w:bidi="zh-TW"/>
        </w:rPr>
        <w:t>特别奖学金旨在树立个人标兵，引领学生全面发展。</w:t>
      </w:r>
    </w:p>
    <w:p>
      <w:pPr>
        <w:tabs>
          <w:tab w:val="left" w:pos="745"/>
        </w:tabs>
        <w:spacing w:line="306" w:lineRule="exact"/>
        <w:ind w:firstLine="400" w:firstLineChars="200"/>
        <w:jc w:val="both"/>
        <w:rPr>
          <w:rFonts w:ascii="宋体" w:hAnsi="宋体"/>
          <w:color w:val="auto"/>
          <w:sz w:val="18"/>
          <w:lang w:val="zh-TW" w:eastAsia="zh-TW" w:bidi="zh-TW"/>
        </w:rPr>
      </w:pPr>
      <w:bookmarkStart w:id="344" w:name="bookmark602"/>
      <w:bookmarkEnd w:id="344"/>
      <w:r>
        <w:rPr>
          <w:rFonts w:hint="eastAsia"/>
          <w:color w:val="auto"/>
          <w:lang w:eastAsia="zh-CN" w:bidi="zh-TW"/>
        </w:rPr>
        <w:t>1.</w:t>
      </w:r>
      <w:r>
        <w:rPr>
          <w:rFonts w:ascii="宋体" w:hAnsi="宋体"/>
          <w:color w:val="auto"/>
          <w:sz w:val="18"/>
          <w:lang w:val="zh-TW" w:eastAsia="zh-TW" w:bidi="zh-TW"/>
        </w:rPr>
        <w:t>申报条件：</w:t>
      </w:r>
    </w:p>
    <w:p>
      <w:pPr>
        <w:tabs>
          <w:tab w:val="left" w:pos="1057"/>
        </w:tabs>
        <w:spacing w:line="306" w:lineRule="exact"/>
        <w:ind w:firstLine="420"/>
        <w:jc w:val="both"/>
        <w:rPr>
          <w:rFonts w:ascii="宋体" w:hAnsi="宋体"/>
          <w:color w:val="auto"/>
          <w:sz w:val="18"/>
          <w:lang w:val="zh-TW" w:eastAsia="zh-CN" w:bidi="zh-TW"/>
        </w:rPr>
      </w:pPr>
      <w:bookmarkStart w:id="345" w:name="bookmark603"/>
      <w:bookmarkEnd w:id="345"/>
      <w:r>
        <w:rPr>
          <w:rFonts w:hint="eastAsia"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hint="eastAsia" w:ascii="宋体" w:hAnsi="宋体"/>
          <w:color w:val="auto"/>
          <w:sz w:val="18"/>
          <w:lang w:val="zh-CN" w:eastAsia="zh-CN" w:bidi="zh-TW"/>
        </w:rPr>
        <w:t>在校期间学习成绩优异，</w:t>
      </w:r>
      <w:r>
        <w:rPr>
          <w:rFonts w:hint="eastAsia" w:ascii="宋体" w:hAnsi="宋体"/>
          <w:color w:val="auto"/>
          <w:sz w:val="18"/>
          <w:lang w:eastAsia="zh-CN" w:bidi="zh-TW"/>
        </w:rPr>
        <w:t>获得</w:t>
      </w:r>
      <w:r>
        <w:rPr>
          <w:rFonts w:hint="eastAsia" w:ascii="宋体" w:hAnsi="宋体"/>
          <w:color w:val="auto"/>
          <w:sz w:val="18"/>
          <w:lang w:val="zh-TW" w:eastAsia="zh-TW" w:bidi="zh-TW"/>
        </w:rPr>
        <w:t>本年度</w:t>
      </w:r>
      <w:r>
        <w:rPr>
          <w:rFonts w:hint="eastAsia" w:ascii="宋体" w:hAnsi="宋体"/>
          <w:color w:val="auto"/>
          <w:sz w:val="18"/>
          <w:lang w:eastAsia="zh-TW" w:bidi="zh-TW"/>
        </w:rPr>
        <w:t>优秀学生一等</w:t>
      </w:r>
      <w:r>
        <w:rPr>
          <w:rFonts w:hint="eastAsia" w:ascii="宋体" w:hAnsi="宋体"/>
          <w:color w:val="auto"/>
          <w:sz w:val="18"/>
          <w:lang w:val="zh-TW" w:eastAsia="zh-TW" w:bidi="zh-TW"/>
        </w:rPr>
        <w:t>奖学金。</w:t>
      </w:r>
    </w:p>
    <w:p>
      <w:pPr>
        <w:tabs>
          <w:tab w:val="left" w:pos="1057"/>
        </w:tabs>
        <w:spacing w:line="306" w:lineRule="exact"/>
        <w:ind w:firstLine="420"/>
        <w:jc w:val="both"/>
        <w:rPr>
          <w:rFonts w:ascii="宋体" w:hAnsi="宋体"/>
          <w:color w:val="auto"/>
          <w:sz w:val="18"/>
          <w:lang w:eastAsia="zh-CN" w:bidi="zh-TW"/>
        </w:rPr>
      </w:pPr>
      <w:r>
        <w:rPr>
          <w:rFonts w:hint="eastAsia" w:ascii="宋体" w:hAnsi="宋体"/>
          <w:color w:val="auto"/>
          <w:sz w:val="18"/>
          <w:szCs w:val="20"/>
          <w:lang w:val="zh-TW" w:eastAsia="zh-TW" w:bidi="zh-TW"/>
        </w:rPr>
        <w:t>（</w:t>
      </w:r>
      <w:r>
        <w:rPr>
          <w:rFonts w:hint="eastAsia"/>
          <w:color w:val="auto"/>
          <w:szCs w:val="20"/>
          <w:lang w:eastAsia="zh-CN" w:bidi="zh-TW"/>
        </w:rPr>
        <w:t>2</w:t>
      </w:r>
      <w:r>
        <w:rPr>
          <w:rFonts w:hint="eastAsia" w:ascii="宋体" w:hAnsi="宋体"/>
          <w:color w:val="auto"/>
          <w:sz w:val="18"/>
          <w:szCs w:val="20"/>
          <w:lang w:val="zh-TW" w:eastAsia="zh-TW" w:bidi="zh-TW"/>
        </w:rPr>
        <w:t>）</w:t>
      </w:r>
      <w:r>
        <w:rPr>
          <w:rFonts w:hint="eastAsia" w:ascii="宋体" w:hAnsi="宋体"/>
          <w:color w:val="auto"/>
          <w:sz w:val="18"/>
          <w:lang w:val="zh-CN" w:eastAsia="zh-CN" w:bidi="zh-TW"/>
        </w:rPr>
        <w:t>创新能力、社会实践、综合素质等其他</w:t>
      </w:r>
      <w:r>
        <w:rPr>
          <w:rFonts w:hint="eastAsia" w:ascii="宋体" w:hAnsi="宋体"/>
          <w:color w:val="auto"/>
          <w:sz w:val="18"/>
          <w:lang w:eastAsia="zh-CN" w:bidi="zh-TW"/>
        </w:rPr>
        <w:t>某一</w:t>
      </w:r>
      <w:r>
        <w:rPr>
          <w:rFonts w:hint="eastAsia" w:ascii="宋体" w:hAnsi="宋体"/>
          <w:color w:val="auto"/>
          <w:sz w:val="18"/>
          <w:lang w:val="zh-CN" w:eastAsia="zh-CN" w:bidi="zh-TW"/>
        </w:rPr>
        <w:t>方面表现非常突出</w:t>
      </w:r>
      <w:r>
        <w:rPr>
          <w:rFonts w:hint="eastAsia" w:ascii="宋体" w:hAnsi="宋体"/>
          <w:color w:val="auto"/>
          <w:sz w:val="18"/>
          <w:lang w:eastAsia="zh-CN" w:bidi="zh-TW"/>
        </w:rPr>
        <w:t>的</w:t>
      </w:r>
      <w:r>
        <w:rPr>
          <w:rFonts w:hint="eastAsia" w:ascii="宋体" w:hAnsi="宋体"/>
          <w:color w:val="auto"/>
          <w:sz w:val="18"/>
          <w:lang w:val="zh-CN" w:eastAsia="zh-CN" w:bidi="zh-TW"/>
        </w:rPr>
        <w:t>。</w:t>
      </w:r>
      <w:r>
        <w:rPr>
          <w:rFonts w:hint="eastAsia" w:ascii="宋体" w:hAnsi="宋体"/>
          <w:color w:val="auto"/>
          <w:sz w:val="18"/>
          <w:lang w:eastAsia="zh-CN" w:bidi="zh-TW"/>
        </w:rPr>
        <w:t>如在社会主义精神文明建设，学术研究、学科竞赛、创新发明、体育竞赛、艺术展演等方面获得省级及以上荣誉或奖励；或其他突出表现经学校认定者。</w:t>
      </w:r>
    </w:p>
    <w:p>
      <w:pPr>
        <w:tabs>
          <w:tab w:val="left" w:pos="1057"/>
        </w:tabs>
        <w:spacing w:line="306" w:lineRule="exact"/>
        <w:ind w:firstLine="420"/>
        <w:jc w:val="both"/>
        <w:rPr>
          <w:rFonts w:ascii="宋体" w:hAnsi="宋体"/>
          <w:color w:val="auto"/>
          <w:sz w:val="18"/>
          <w:lang w:val="zh-TW" w:eastAsia="zh-TW" w:bidi="zh-TW"/>
        </w:rPr>
      </w:pPr>
      <w:r>
        <w:rPr>
          <w:rFonts w:hint="eastAsia" w:ascii="宋体" w:hAnsi="宋体"/>
          <w:color w:val="auto"/>
          <w:sz w:val="18"/>
          <w:lang w:val="zh-TW" w:eastAsia="zh-CN" w:bidi="zh-TW"/>
        </w:rPr>
        <w:t>2.</w:t>
      </w:r>
      <w:r>
        <w:rPr>
          <w:rFonts w:ascii="宋体" w:hAnsi="宋体"/>
          <w:color w:val="auto"/>
          <w:sz w:val="18"/>
          <w:lang w:val="zh-TW" w:eastAsia="zh-TW" w:bidi="zh-TW"/>
        </w:rPr>
        <w:t>奖励标准：</w:t>
      </w:r>
    </w:p>
    <w:p>
      <w:pPr>
        <w:spacing w:line="306" w:lineRule="exact"/>
        <w:ind w:firstLine="420"/>
        <w:jc w:val="both"/>
        <w:rPr>
          <w:rFonts w:ascii="宋体" w:hAnsi="宋体"/>
          <w:color w:val="auto"/>
          <w:sz w:val="18"/>
          <w:lang w:val="zh-TW" w:eastAsia="zh-TW" w:bidi="zh-TW"/>
        </w:rPr>
      </w:pPr>
      <w:r>
        <w:rPr>
          <w:rFonts w:ascii="宋体" w:hAnsi="宋体"/>
          <w:color w:val="auto"/>
          <w:sz w:val="18"/>
          <w:lang w:val="zh-CN" w:eastAsia="zh-CN" w:bidi="zh-CN"/>
        </w:rPr>
        <w:t>“榜样</w:t>
      </w:r>
      <w:r>
        <w:rPr>
          <w:rFonts w:ascii="宋体" w:hAnsi="宋体"/>
          <w:color w:val="auto"/>
          <w:sz w:val="18"/>
          <w:lang w:val="zh-TW" w:eastAsia="zh-TW" w:bidi="zh-TW"/>
        </w:rPr>
        <w:t>金城”特别奖学金</w:t>
      </w:r>
      <w:r>
        <w:rPr>
          <w:color w:val="auto"/>
          <w:szCs w:val="20"/>
          <w:lang w:val="zh-TW" w:eastAsia="zh-TW" w:bidi="zh-TW"/>
        </w:rPr>
        <w:t>5000</w:t>
      </w:r>
      <w:r>
        <w:rPr>
          <w:rFonts w:ascii="宋体" w:hAnsi="宋体"/>
          <w:color w:val="auto"/>
          <w:sz w:val="18"/>
          <w:lang w:val="zh-TW" w:eastAsia="zh-TW" w:bidi="zh-TW"/>
        </w:rPr>
        <w:t>元/人，可与其他奖助学金兼得（国家奖学金、国家励志奖学金除外）。</w:t>
      </w:r>
    </w:p>
    <w:p>
      <w:pPr>
        <w:tabs>
          <w:tab w:val="left" w:pos="1057"/>
        </w:tabs>
        <w:spacing w:line="306"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eastAsia="zh-CN" w:bidi="zh-TW"/>
        </w:rPr>
        <w:t>二</w:t>
      </w:r>
      <w:r>
        <w:rPr>
          <w:rFonts w:ascii="宋体" w:hAnsi="宋体"/>
          <w:color w:val="auto"/>
          <w:sz w:val="18"/>
          <w:lang w:val="zh-TW" w:eastAsia="zh-TW" w:bidi="zh-TW"/>
        </w:rPr>
        <w:t>）社会工作奖学金</w:t>
      </w:r>
    </w:p>
    <w:p>
      <w:pPr>
        <w:spacing w:line="306" w:lineRule="exact"/>
        <w:ind w:left="420"/>
        <w:jc w:val="both"/>
        <w:rPr>
          <w:rFonts w:ascii="宋体" w:hAnsi="宋体"/>
          <w:color w:val="auto"/>
          <w:sz w:val="18"/>
          <w:lang w:eastAsia="zh-CN" w:bidi="zh-TW"/>
        </w:rPr>
      </w:pPr>
      <w:bookmarkStart w:id="346" w:name="bookmark608"/>
      <w:bookmarkEnd w:id="346"/>
      <w:r>
        <w:rPr>
          <w:rFonts w:hint="eastAsia" w:ascii="宋体" w:hAnsi="宋体"/>
          <w:color w:val="auto"/>
          <w:sz w:val="18"/>
          <w:lang w:eastAsia="zh-CN" w:bidi="zh-TW"/>
        </w:rPr>
        <w:t>主要用于奖励社会工作、志愿服务、文体素养等某一个或多个方面取得突出成绩的学生。</w:t>
      </w:r>
    </w:p>
    <w:p>
      <w:pPr>
        <w:spacing w:line="306" w:lineRule="exact"/>
        <w:ind w:left="420"/>
        <w:jc w:val="both"/>
        <w:rPr>
          <w:rFonts w:ascii="宋体" w:hAnsi="宋体"/>
          <w:color w:val="auto"/>
          <w:sz w:val="18"/>
          <w:lang w:val="zh-TW" w:eastAsia="zh-TW" w:bidi="zh-TW"/>
        </w:rPr>
      </w:pPr>
      <w:r>
        <w:rPr>
          <w:color w:val="auto"/>
          <w:lang w:val="zh-TW" w:eastAsia="zh-TW" w:bidi="zh-TW"/>
        </w:rPr>
        <w:t>1.</w:t>
      </w:r>
      <w:r>
        <w:rPr>
          <w:rFonts w:ascii="宋体" w:hAnsi="宋体"/>
          <w:color w:val="auto"/>
          <w:sz w:val="18"/>
          <w:lang w:val="zh-TW" w:eastAsia="zh-TW" w:bidi="zh-TW"/>
        </w:rPr>
        <w:t>申报条件：</w:t>
      </w:r>
    </w:p>
    <w:p>
      <w:pPr>
        <w:spacing w:line="306" w:lineRule="exact"/>
        <w:ind w:left="420"/>
        <w:jc w:val="both"/>
        <w:rPr>
          <w:rFonts w:ascii="宋体" w:hAnsi="宋体"/>
          <w:color w:val="auto"/>
          <w:sz w:val="18"/>
          <w:lang w:eastAsia="zh-CN" w:bidi="zh-TW"/>
        </w:rPr>
      </w:pPr>
      <w:r>
        <w:rPr>
          <w:rFonts w:hint="eastAsia" w:ascii="宋体" w:hAnsi="宋体"/>
          <w:color w:val="auto"/>
          <w:sz w:val="18"/>
          <w:lang w:eastAsia="zh-CN" w:bidi="zh-TW"/>
        </w:rPr>
        <w:t>（1）已获得本年度</w:t>
      </w:r>
      <w:r>
        <w:rPr>
          <w:rFonts w:hint="eastAsia" w:ascii="宋体" w:hAnsi="宋体"/>
          <w:color w:val="auto"/>
          <w:sz w:val="18"/>
          <w:lang w:eastAsia="zh-TW" w:bidi="zh-TW"/>
        </w:rPr>
        <w:t>优秀学生</w:t>
      </w:r>
      <w:r>
        <w:rPr>
          <w:rFonts w:hint="eastAsia" w:ascii="宋体" w:hAnsi="宋体"/>
          <w:color w:val="auto"/>
          <w:sz w:val="18"/>
          <w:lang w:eastAsia="zh-CN" w:bidi="zh-TW"/>
        </w:rPr>
        <w:t>三等奖学金或学分绩点达到3.0及以上，无不及格，并担任学生干部满一年及以上。</w:t>
      </w:r>
    </w:p>
    <w:p>
      <w:pPr>
        <w:spacing w:line="306" w:lineRule="exact"/>
        <w:ind w:left="420"/>
        <w:jc w:val="both"/>
        <w:rPr>
          <w:rFonts w:ascii="宋体" w:hAnsi="宋体"/>
          <w:color w:val="auto"/>
          <w:sz w:val="18"/>
          <w:lang w:eastAsia="zh-CN" w:bidi="zh-TW"/>
        </w:rPr>
      </w:pPr>
      <w:r>
        <w:rPr>
          <w:rFonts w:hint="eastAsia" w:ascii="宋体" w:hAnsi="宋体"/>
          <w:color w:val="auto"/>
          <w:sz w:val="18"/>
          <w:lang w:eastAsia="zh-CN" w:bidi="zh-TW"/>
        </w:rPr>
        <w:t>（2）满足以下条件之一:</w:t>
      </w:r>
    </w:p>
    <w:p>
      <w:pPr>
        <w:spacing w:line="306" w:lineRule="exact"/>
        <w:ind w:left="420"/>
        <w:jc w:val="both"/>
        <w:rPr>
          <w:rFonts w:ascii="宋体" w:hAnsi="宋体"/>
          <w:color w:val="auto"/>
          <w:sz w:val="18"/>
          <w:lang w:eastAsia="zh-CN" w:bidi="zh-TW"/>
        </w:rPr>
      </w:pPr>
      <w:r>
        <w:rPr>
          <w:rFonts w:hint="eastAsia" w:ascii="宋体" w:hAnsi="宋体"/>
          <w:color w:val="auto"/>
          <w:sz w:val="18"/>
          <w:lang w:eastAsia="zh-CN" w:bidi="zh-TW"/>
        </w:rPr>
        <w:t>①热爱集体、团结同学，一直致力于社会活动（社会实践、社会公益、志愿服务等),获得省级以上奖项，在社会上、校园里产生积极影响者；</w:t>
      </w:r>
    </w:p>
    <w:p>
      <w:pPr>
        <w:spacing w:line="306" w:lineRule="exact"/>
        <w:ind w:left="420"/>
        <w:jc w:val="both"/>
        <w:rPr>
          <w:rFonts w:ascii="宋体" w:hAnsi="宋体"/>
          <w:color w:val="auto"/>
          <w:sz w:val="18"/>
          <w:lang w:eastAsia="zh-CN" w:bidi="zh-TW"/>
        </w:rPr>
      </w:pPr>
      <w:r>
        <w:rPr>
          <w:rFonts w:hint="eastAsia" w:ascii="宋体" w:hAnsi="宋体"/>
          <w:color w:val="auto"/>
          <w:sz w:val="18"/>
          <w:lang w:eastAsia="zh-CN" w:bidi="zh-TW"/>
        </w:rPr>
        <w:t>②热衷于体育、文学或者艺术，获得省级以上奖项，并在相关领域有一定建树者；</w:t>
      </w:r>
    </w:p>
    <w:p>
      <w:pPr>
        <w:spacing w:line="306" w:lineRule="exact"/>
        <w:ind w:left="420"/>
        <w:jc w:val="both"/>
        <w:rPr>
          <w:rFonts w:ascii="宋体" w:hAnsi="宋体"/>
          <w:color w:val="auto"/>
          <w:sz w:val="18"/>
          <w:lang w:eastAsia="zh-CN" w:bidi="zh-TW"/>
        </w:rPr>
      </w:pPr>
      <w:r>
        <w:rPr>
          <w:rFonts w:hint="eastAsia" w:ascii="宋体" w:hAnsi="宋体"/>
          <w:color w:val="auto"/>
          <w:sz w:val="18"/>
          <w:lang w:eastAsia="zh-CN" w:bidi="zh-TW"/>
        </w:rPr>
        <w:t>③当年有见义勇为、助人为乐、拾金不昧等方面有突出事迹，并在社会上、校园里产生积极影响者；</w:t>
      </w:r>
    </w:p>
    <w:p>
      <w:pPr>
        <w:spacing w:line="306" w:lineRule="exact"/>
        <w:ind w:left="420"/>
        <w:jc w:val="both"/>
        <w:rPr>
          <w:rFonts w:ascii="宋体" w:hAnsi="宋体"/>
          <w:color w:val="auto"/>
          <w:sz w:val="18"/>
          <w:lang w:eastAsia="zh-CN" w:bidi="zh-TW"/>
        </w:rPr>
      </w:pPr>
      <w:r>
        <w:rPr>
          <w:rFonts w:hint="eastAsia" w:ascii="宋体" w:hAnsi="宋体"/>
          <w:color w:val="auto"/>
          <w:sz w:val="18"/>
          <w:lang w:eastAsia="zh-CN" w:bidi="zh-TW"/>
        </w:rPr>
        <w:t>④其他有突出表现经学校认定者。</w:t>
      </w:r>
    </w:p>
    <w:p>
      <w:pPr>
        <w:spacing w:line="307" w:lineRule="exact"/>
        <w:ind w:left="420"/>
        <w:rPr>
          <w:rFonts w:ascii="宋体" w:hAnsi="宋体" w:eastAsia="PMingLiU"/>
          <w:color w:val="auto"/>
          <w:sz w:val="18"/>
          <w:lang w:val="zh-TW" w:eastAsia="zh-TW" w:bidi="zh-TW"/>
        </w:rPr>
      </w:pPr>
      <w:bookmarkStart w:id="347" w:name="bookmark611"/>
      <w:bookmarkEnd w:id="347"/>
      <w:r>
        <w:rPr>
          <w:color w:val="auto"/>
          <w:lang w:val="zh-TW" w:eastAsia="zh-TW" w:bidi="zh-TW"/>
        </w:rPr>
        <w:t>2.</w:t>
      </w:r>
      <w:r>
        <w:rPr>
          <w:rFonts w:ascii="宋体" w:hAnsi="宋体"/>
          <w:color w:val="auto"/>
          <w:sz w:val="18"/>
          <w:lang w:val="zh-TW" w:eastAsia="zh-TW" w:bidi="zh-TW"/>
        </w:rPr>
        <w:t>奖励标准</w:t>
      </w:r>
      <w:r>
        <w:rPr>
          <w:rFonts w:hint="eastAsia" w:ascii="宋体" w:hAnsi="宋体"/>
          <w:color w:val="auto"/>
          <w:sz w:val="18"/>
          <w:lang w:val="zh-TW" w:eastAsia="zh-TW" w:bidi="zh-TW"/>
        </w:rPr>
        <w:t>：</w:t>
      </w:r>
    </w:p>
    <w:p>
      <w:pPr>
        <w:spacing w:line="307" w:lineRule="exact"/>
        <w:ind w:left="420"/>
        <w:rPr>
          <w:rFonts w:ascii="宋体" w:hAnsi="宋体"/>
          <w:color w:val="auto"/>
          <w:sz w:val="18"/>
          <w:lang w:val="zh-TW" w:eastAsia="zh-TW" w:bidi="zh-TW"/>
        </w:rPr>
      </w:pPr>
      <w:r>
        <w:rPr>
          <w:rFonts w:ascii="宋体" w:hAnsi="宋体"/>
          <w:color w:val="auto"/>
          <w:sz w:val="18"/>
          <w:lang w:val="zh-TW" w:eastAsia="zh-TW" w:bidi="zh-TW"/>
        </w:rPr>
        <w:t>特别奖学金中的社会工作奖学金奖金额为</w:t>
      </w:r>
      <w:r>
        <w:rPr>
          <w:rFonts w:hint="eastAsia"/>
          <w:color w:val="auto"/>
          <w:szCs w:val="20"/>
          <w:lang w:eastAsia="zh-CN" w:bidi="zh-TW"/>
        </w:rPr>
        <w:t>1000</w:t>
      </w:r>
      <w:r>
        <w:rPr>
          <w:rFonts w:ascii="宋体" w:hAnsi="宋体"/>
          <w:color w:val="auto"/>
          <w:sz w:val="18"/>
          <w:lang w:val="zh-TW" w:eastAsia="zh-TW" w:bidi="zh-TW"/>
        </w:rPr>
        <w:t>元/人。</w:t>
      </w:r>
    </w:p>
    <w:p>
      <w:pPr>
        <w:tabs>
          <w:tab w:val="left" w:pos="1062"/>
        </w:tabs>
        <w:spacing w:line="307" w:lineRule="exact"/>
        <w:ind w:firstLine="420"/>
        <w:jc w:val="both"/>
        <w:rPr>
          <w:rFonts w:ascii="宋体" w:hAnsi="宋体"/>
          <w:color w:val="auto"/>
          <w:sz w:val="18"/>
          <w:lang w:val="zh-TW" w:eastAsia="zh-TW" w:bidi="zh-TW"/>
        </w:rPr>
      </w:pPr>
      <w:bookmarkStart w:id="348" w:name="bookmark614"/>
      <w:bookmarkEnd w:id="348"/>
      <w:r>
        <w:rPr>
          <w:rFonts w:ascii="宋体" w:hAnsi="宋体"/>
          <w:color w:val="auto"/>
          <w:sz w:val="18"/>
          <w:lang w:val="zh-TW" w:eastAsia="zh-TW" w:bidi="zh-TW"/>
        </w:rPr>
        <w:t>（</w:t>
      </w:r>
      <w:r>
        <w:rPr>
          <w:rFonts w:hint="eastAsia" w:ascii="宋体" w:hAnsi="宋体"/>
          <w:color w:val="auto"/>
          <w:sz w:val="18"/>
          <w:lang w:eastAsia="zh-CN" w:bidi="zh-TW"/>
        </w:rPr>
        <w:t>三</w:t>
      </w:r>
      <w:r>
        <w:rPr>
          <w:rFonts w:ascii="宋体" w:hAnsi="宋体"/>
          <w:color w:val="auto"/>
          <w:sz w:val="18"/>
          <w:lang w:val="zh-TW" w:eastAsia="zh-TW" w:bidi="zh-TW"/>
        </w:rPr>
        <w:t>）</w:t>
      </w:r>
      <w:r>
        <w:rPr>
          <w:rFonts w:ascii="宋体" w:hAnsi="宋体"/>
          <w:color w:val="auto"/>
          <w:sz w:val="18"/>
          <w:lang w:val="zh-CN" w:eastAsia="zh-CN" w:bidi="zh-CN"/>
        </w:rPr>
        <w:t>“三</w:t>
      </w:r>
      <w:r>
        <w:rPr>
          <w:rFonts w:ascii="宋体" w:hAnsi="宋体"/>
          <w:color w:val="auto"/>
          <w:sz w:val="18"/>
          <w:lang w:val="zh-TW" w:eastAsia="zh-TW" w:bidi="zh-TW"/>
        </w:rPr>
        <w:t>创”奖学金</w:t>
      </w:r>
    </w:p>
    <w:p>
      <w:pPr>
        <w:spacing w:line="307" w:lineRule="exact"/>
        <w:ind w:left="420"/>
        <w:rPr>
          <w:rFonts w:ascii="宋体" w:hAnsi="宋体"/>
          <w:color w:val="auto"/>
          <w:sz w:val="18"/>
          <w:lang w:eastAsia="zh-CN" w:bidi="zh-TW"/>
        </w:rPr>
      </w:pPr>
      <w:bookmarkStart w:id="349" w:name="bookmark616"/>
      <w:bookmarkEnd w:id="349"/>
      <w:r>
        <w:rPr>
          <w:rFonts w:hint="eastAsia" w:ascii="宋体" w:hAnsi="宋体"/>
          <w:color w:val="auto"/>
          <w:sz w:val="18"/>
          <w:lang w:val="zh-TW" w:eastAsia="zh-TW" w:bidi="zh-TW"/>
        </w:rPr>
        <w:t>旨在表彰在</w:t>
      </w:r>
      <w:r>
        <w:rPr>
          <w:rFonts w:hint="eastAsia" w:ascii="宋体" w:hAnsi="宋体"/>
          <w:color w:val="auto"/>
          <w:sz w:val="18"/>
          <w:lang w:val="zh-CN" w:eastAsia="zh-CN" w:bidi="zh-TW"/>
        </w:rPr>
        <w:t>“创</w:t>
      </w:r>
      <w:r>
        <w:rPr>
          <w:rFonts w:hint="eastAsia" w:ascii="宋体" w:hAnsi="宋体"/>
          <w:color w:val="auto"/>
          <w:sz w:val="18"/>
          <w:lang w:val="zh-TW" w:eastAsia="zh-TW" w:bidi="zh-TW"/>
        </w:rPr>
        <w:t>新、创业、创优”三方面有突出表现的学生。</w:t>
      </w:r>
    </w:p>
    <w:p>
      <w:pPr>
        <w:spacing w:line="306" w:lineRule="exact"/>
        <w:ind w:left="420"/>
        <w:jc w:val="both"/>
        <w:rPr>
          <w:rFonts w:ascii="宋体" w:hAnsi="宋体"/>
          <w:color w:val="auto"/>
          <w:sz w:val="18"/>
          <w:lang w:val="zh-TW" w:eastAsia="zh-TW" w:bidi="zh-TW"/>
        </w:rPr>
      </w:pPr>
      <w:r>
        <w:rPr>
          <w:rFonts w:hint="eastAsia" w:ascii="宋体" w:hAnsi="宋体"/>
          <w:color w:val="auto"/>
          <w:sz w:val="18"/>
          <w:lang w:eastAsia="zh-CN" w:bidi="zh-TW"/>
        </w:rPr>
        <w:t>1.</w:t>
      </w:r>
      <w:r>
        <w:rPr>
          <w:rFonts w:hint="eastAsia" w:ascii="宋体" w:hAnsi="宋体"/>
          <w:color w:val="auto"/>
          <w:sz w:val="18"/>
          <w:lang w:val="zh-TW" w:eastAsia="zh-TW" w:bidi="zh-TW"/>
        </w:rPr>
        <w:t>申报条件：</w:t>
      </w:r>
    </w:p>
    <w:p>
      <w:pPr>
        <w:spacing w:line="306" w:lineRule="exact"/>
        <w:ind w:left="420"/>
        <w:jc w:val="both"/>
        <w:rPr>
          <w:rFonts w:ascii="宋体" w:hAnsi="宋体"/>
          <w:color w:val="auto"/>
          <w:sz w:val="18"/>
          <w:lang w:val="zh-TW" w:eastAsia="zh-TW" w:bidi="zh-TW"/>
        </w:rPr>
      </w:pPr>
      <w:bookmarkStart w:id="350" w:name="bookmark620"/>
      <w:bookmarkEnd w:id="350"/>
      <w:r>
        <w:rPr>
          <w:rFonts w:hint="eastAsia" w:ascii="宋体" w:hAnsi="宋体"/>
          <w:color w:val="auto"/>
          <w:sz w:val="18"/>
          <w:lang w:eastAsia="zh-CN" w:bidi="zh-TW"/>
        </w:rPr>
        <w:t>（1）CET</w:t>
      </w:r>
      <w:r>
        <w:rPr>
          <w:rFonts w:hint="eastAsia" w:ascii="宋体" w:hAnsi="宋体"/>
          <w:color w:val="auto"/>
          <w:sz w:val="18"/>
          <w:lang w:val="zh-TW" w:eastAsia="zh-TW" w:bidi="zh-TW"/>
        </w:rPr>
        <w:t>四级或六级成绩优秀者</w:t>
      </w:r>
      <w:r>
        <w:rPr>
          <w:rFonts w:hint="eastAsia" w:ascii="宋体" w:hAnsi="宋体"/>
          <w:color w:val="auto"/>
          <w:sz w:val="18"/>
          <w:lang w:val="zh-TW" w:eastAsia="zh-CN" w:bidi="zh-TW"/>
        </w:rPr>
        <w:t>，</w:t>
      </w:r>
      <w:r>
        <w:rPr>
          <w:rFonts w:hint="eastAsia" w:ascii="宋体" w:hAnsi="宋体"/>
          <w:color w:val="auto"/>
          <w:sz w:val="18"/>
          <w:lang w:eastAsia="zh-CN" w:bidi="zh-TW"/>
        </w:rPr>
        <w:t>大于等于</w:t>
      </w:r>
      <w:r>
        <w:rPr>
          <w:rFonts w:hint="eastAsia" w:ascii="宋体" w:hAnsi="宋体"/>
          <w:color w:val="auto"/>
          <w:sz w:val="18"/>
          <w:lang w:val="zh-TW" w:eastAsia="zh-TW" w:bidi="zh-TW"/>
        </w:rPr>
        <w:t>603.5（710*85%）分为优秀；</w:t>
      </w:r>
    </w:p>
    <w:p>
      <w:pPr>
        <w:spacing w:line="306" w:lineRule="exact"/>
        <w:ind w:left="420"/>
        <w:jc w:val="both"/>
        <w:rPr>
          <w:rFonts w:ascii="宋体" w:hAnsi="宋体"/>
          <w:color w:val="auto"/>
          <w:sz w:val="18"/>
          <w:lang w:eastAsia="zh-CN" w:bidi="zh-TW"/>
        </w:rPr>
      </w:pPr>
      <w:r>
        <w:rPr>
          <w:rFonts w:hint="eastAsia" w:ascii="宋体" w:hAnsi="宋体"/>
          <w:color w:val="auto"/>
          <w:sz w:val="18"/>
          <w:lang w:eastAsia="zh-CN" w:bidi="zh-TW"/>
        </w:rPr>
        <w:t>（2）经学校认定的</w:t>
      </w:r>
      <w:r>
        <w:rPr>
          <w:rFonts w:hint="eastAsia" w:ascii="宋体" w:hAnsi="宋体"/>
          <w:color w:val="auto"/>
          <w:sz w:val="18"/>
          <w:lang w:val="zh-TW" w:eastAsia="zh-TW" w:bidi="zh-TW"/>
        </w:rPr>
        <w:t>大学生竞赛</w:t>
      </w:r>
      <w:r>
        <w:rPr>
          <w:rFonts w:hint="eastAsia" w:ascii="宋体" w:hAnsi="宋体"/>
          <w:color w:val="auto"/>
          <w:sz w:val="18"/>
          <w:lang w:eastAsia="zh-CN" w:bidi="zh-TW"/>
        </w:rPr>
        <w:t>中获得</w:t>
      </w:r>
      <w:r>
        <w:rPr>
          <w:rFonts w:hint="eastAsia" w:ascii="宋体" w:hAnsi="宋体"/>
          <w:color w:val="auto"/>
          <w:sz w:val="18"/>
          <w:lang w:val="zh-TW" w:eastAsia="zh-TW" w:bidi="zh-TW"/>
        </w:rPr>
        <w:t>省级及省级以上</w:t>
      </w:r>
      <w:r>
        <w:rPr>
          <w:rFonts w:hint="eastAsia" w:ascii="宋体" w:hAnsi="宋体"/>
          <w:color w:val="auto"/>
          <w:sz w:val="18"/>
          <w:lang w:eastAsia="zh-CN" w:bidi="zh-TW"/>
        </w:rPr>
        <w:t>奖项名次</w:t>
      </w:r>
      <w:r>
        <w:rPr>
          <w:rFonts w:hint="eastAsia" w:ascii="宋体" w:hAnsi="宋体"/>
          <w:color w:val="auto"/>
          <w:sz w:val="18"/>
          <w:lang w:val="zh-TW" w:eastAsia="zh-TW" w:bidi="zh-TW"/>
        </w:rPr>
        <w:t>者；</w:t>
      </w:r>
    </w:p>
    <w:p>
      <w:pPr>
        <w:spacing w:line="306" w:lineRule="exact"/>
        <w:ind w:left="420"/>
        <w:jc w:val="both"/>
        <w:rPr>
          <w:rFonts w:ascii="宋体" w:hAnsi="宋体"/>
          <w:color w:val="auto"/>
          <w:sz w:val="18"/>
          <w:lang w:val="zh-TW" w:eastAsia="zh-TW" w:bidi="zh-TW"/>
        </w:rPr>
      </w:pPr>
      <w:r>
        <w:rPr>
          <w:rFonts w:hint="eastAsia" w:ascii="宋体" w:hAnsi="宋体"/>
          <w:color w:val="auto"/>
          <w:sz w:val="18"/>
          <w:lang w:eastAsia="zh-CN" w:bidi="zh-TW"/>
        </w:rPr>
        <w:t>（3）</w:t>
      </w:r>
      <w:r>
        <w:rPr>
          <w:rFonts w:hint="eastAsia" w:ascii="宋体" w:hAnsi="宋体"/>
          <w:color w:val="auto"/>
          <w:sz w:val="18"/>
          <w:lang w:val="zh-TW" w:eastAsia="zh-TW" w:bidi="zh-TW"/>
        </w:rPr>
        <w:t>科技发明</w:t>
      </w:r>
      <w:r>
        <w:rPr>
          <w:rFonts w:hint="eastAsia" w:ascii="宋体" w:hAnsi="宋体"/>
          <w:color w:val="auto"/>
          <w:sz w:val="18"/>
          <w:lang w:eastAsia="zh-CN" w:bidi="zh-TW"/>
        </w:rPr>
        <w:t>获省、部级以上奖励或获得通过专家鉴定的国家专利</w:t>
      </w:r>
      <w:r>
        <w:rPr>
          <w:rFonts w:hint="eastAsia" w:ascii="宋体" w:hAnsi="宋体"/>
          <w:color w:val="auto"/>
          <w:sz w:val="18"/>
          <w:lang w:val="zh-TW" w:eastAsia="zh-TW" w:bidi="zh-TW"/>
        </w:rPr>
        <w:t>并获得较好社会效益者；</w:t>
      </w:r>
    </w:p>
    <w:p>
      <w:pPr>
        <w:spacing w:line="306" w:lineRule="exact"/>
        <w:ind w:left="420"/>
        <w:jc w:val="both"/>
        <w:rPr>
          <w:rFonts w:ascii="宋体" w:hAnsi="宋体"/>
          <w:color w:val="auto"/>
          <w:sz w:val="18"/>
          <w:lang w:eastAsia="zh-CN" w:bidi="zh-TW"/>
        </w:rPr>
      </w:pPr>
      <w:r>
        <w:rPr>
          <w:rFonts w:hint="eastAsia" w:ascii="宋体" w:hAnsi="宋体"/>
          <w:color w:val="auto"/>
          <w:sz w:val="18"/>
          <w:lang w:eastAsia="zh-CN" w:bidi="zh-TW"/>
        </w:rPr>
        <w:t>（4）积极创业实践</w:t>
      </w:r>
      <w:r>
        <w:rPr>
          <w:rFonts w:hint="eastAsia" w:ascii="宋体" w:hAnsi="宋体"/>
          <w:color w:val="auto"/>
          <w:sz w:val="18"/>
          <w:lang w:val="zh-TW" w:eastAsia="zh-TW" w:bidi="zh-TW"/>
        </w:rPr>
        <w:t>，</w:t>
      </w:r>
      <w:r>
        <w:rPr>
          <w:rFonts w:hint="eastAsia" w:ascii="宋体" w:hAnsi="宋体"/>
          <w:color w:val="auto"/>
          <w:sz w:val="18"/>
          <w:lang w:eastAsia="zh-CN" w:bidi="zh-TW"/>
        </w:rPr>
        <w:t>并已办理营业执照，产生较好的经济社会效益者；</w:t>
      </w:r>
    </w:p>
    <w:p>
      <w:pPr>
        <w:spacing w:line="306" w:lineRule="exact"/>
        <w:ind w:left="420"/>
        <w:jc w:val="both"/>
        <w:rPr>
          <w:rFonts w:ascii="宋体" w:hAnsi="宋体"/>
          <w:color w:val="auto"/>
          <w:sz w:val="18"/>
          <w:lang w:val="zh-TW" w:eastAsia="zh-TW" w:bidi="zh-TW"/>
        </w:rPr>
      </w:pPr>
      <w:r>
        <w:rPr>
          <w:rFonts w:hint="eastAsia" w:ascii="宋体" w:hAnsi="宋体"/>
          <w:color w:val="auto"/>
          <w:sz w:val="18"/>
          <w:lang w:eastAsia="zh-CN" w:bidi="zh-TW"/>
        </w:rPr>
        <w:t>（5）</w:t>
      </w:r>
      <w:r>
        <w:rPr>
          <w:rFonts w:hint="eastAsia" w:ascii="宋体" w:hAnsi="宋体"/>
          <w:color w:val="auto"/>
          <w:sz w:val="18"/>
          <w:lang w:val="zh-TW" w:eastAsia="zh-TW" w:bidi="zh-TW"/>
        </w:rPr>
        <w:t>考取相关专业技能证书，含金量较高者。</w:t>
      </w:r>
    </w:p>
    <w:p>
      <w:pPr>
        <w:tabs>
          <w:tab w:val="left" w:pos="764"/>
        </w:tabs>
        <w:spacing w:line="307" w:lineRule="exact"/>
        <w:ind w:firstLine="400" w:firstLineChars="200"/>
        <w:rPr>
          <w:rFonts w:ascii="宋体" w:hAnsi="宋体"/>
          <w:color w:val="auto"/>
          <w:sz w:val="18"/>
          <w:lang w:val="zh-TW" w:eastAsia="zh-TW" w:bidi="zh-TW"/>
        </w:rPr>
      </w:pPr>
      <w:r>
        <w:rPr>
          <w:rFonts w:hint="eastAsia"/>
          <w:color w:val="auto"/>
          <w:lang w:eastAsia="zh-CN" w:bidi="zh-TW"/>
        </w:rPr>
        <w:t>2.</w:t>
      </w:r>
      <w:r>
        <w:rPr>
          <w:rFonts w:ascii="宋体" w:hAnsi="宋体"/>
          <w:color w:val="auto"/>
          <w:sz w:val="18"/>
          <w:lang w:val="zh-TW" w:eastAsia="zh-TW" w:bidi="zh-TW"/>
        </w:rPr>
        <w:t>奖励标准：</w:t>
      </w:r>
    </w:p>
    <w:p>
      <w:pPr>
        <w:spacing w:after="240" w:line="307" w:lineRule="exact"/>
        <w:ind w:firstLine="420"/>
        <w:rPr>
          <w:rFonts w:ascii="宋体" w:hAnsi="宋体"/>
          <w:color w:val="auto"/>
          <w:sz w:val="18"/>
          <w:lang w:val="zh-TW" w:eastAsia="zh-TW" w:bidi="zh-TW"/>
        </w:rPr>
      </w:pPr>
      <w:r>
        <w:rPr>
          <w:rFonts w:ascii="宋体" w:hAnsi="宋体"/>
          <w:color w:val="auto"/>
          <w:sz w:val="18"/>
          <w:lang w:val="zh-TW" w:eastAsia="zh-TW" w:bidi="zh-TW"/>
        </w:rPr>
        <w:t>特别奖学金中的</w:t>
      </w:r>
      <w:r>
        <w:rPr>
          <w:rFonts w:ascii="宋体" w:hAnsi="宋体"/>
          <w:color w:val="auto"/>
          <w:sz w:val="18"/>
          <w:lang w:val="zh-CN" w:eastAsia="zh-CN" w:bidi="zh-CN"/>
        </w:rPr>
        <w:t>“三</w:t>
      </w:r>
      <w:r>
        <w:rPr>
          <w:rFonts w:ascii="宋体" w:hAnsi="宋体"/>
          <w:color w:val="auto"/>
          <w:sz w:val="18"/>
          <w:lang w:val="zh-TW" w:eastAsia="zh-TW" w:bidi="zh-TW"/>
        </w:rPr>
        <w:t>创”奖学金奖金额为</w:t>
      </w:r>
      <w:r>
        <w:rPr>
          <w:color w:val="auto"/>
          <w:szCs w:val="20"/>
          <w:lang w:val="zh-TW" w:eastAsia="zh-TW" w:bidi="zh-TW"/>
        </w:rPr>
        <w:t>1000</w:t>
      </w:r>
      <w:r>
        <w:rPr>
          <w:rFonts w:ascii="宋体" w:hAnsi="宋体"/>
          <w:color w:val="auto"/>
          <w:sz w:val="18"/>
          <w:lang w:val="zh-TW" w:eastAsia="zh-TW" w:bidi="zh-TW"/>
        </w:rPr>
        <w:t>元/人。</w:t>
      </w:r>
    </w:p>
    <w:p>
      <w:pPr>
        <w:tabs>
          <w:tab w:val="left" w:pos="932"/>
        </w:tabs>
        <w:spacing w:after="120"/>
        <w:ind w:firstLine="420"/>
        <w:rPr>
          <w:rFonts w:ascii="宋体" w:hAnsi="宋体"/>
          <w:b/>
          <w:bCs/>
          <w:color w:val="auto"/>
          <w:sz w:val="22"/>
          <w:szCs w:val="22"/>
          <w:lang w:val="zh-TW" w:eastAsia="zh-TW" w:bidi="zh-TW"/>
        </w:rPr>
      </w:pPr>
      <w:bookmarkStart w:id="351" w:name="bookmark621"/>
      <w:r>
        <w:rPr>
          <w:rFonts w:ascii="宋体" w:hAnsi="宋体"/>
          <w:b/>
          <w:bCs/>
          <w:color w:val="auto"/>
          <w:sz w:val="22"/>
          <w:szCs w:val="22"/>
          <w:lang w:val="zh-TW" w:eastAsia="zh-TW" w:bidi="zh-TW"/>
        </w:rPr>
        <w:t>四</w:t>
      </w:r>
      <w:bookmarkEnd w:id="351"/>
      <w:r>
        <w:rPr>
          <w:rFonts w:ascii="宋体" w:hAnsi="宋体"/>
          <w:b/>
          <w:bCs/>
          <w:color w:val="auto"/>
          <w:sz w:val="22"/>
          <w:szCs w:val="22"/>
          <w:lang w:val="zh-TW" w:eastAsia="zh-TW" w:bidi="zh-TW"/>
        </w:rPr>
        <w:t>、特别奖学金的申报与评审</w:t>
      </w:r>
    </w:p>
    <w:p>
      <w:pPr>
        <w:tabs>
          <w:tab w:val="left" w:pos="771"/>
        </w:tabs>
        <w:spacing w:line="305" w:lineRule="exact"/>
        <w:ind w:firstLine="600" w:firstLineChars="300"/>
        <w:jc w:val="both"/>
        <w:rPr>
          <w:rFonts w:ascii="宋体" w:hAnsi="宋体"/>
          <w:color w:val="auto"/>
          <w:sz w:val="18"/>
          <w:lang w:val="zh-TW" w:eastAsia="zh-TW" w:bidi="zh-TW"/>
        </w:rPr>
      </w:pPr>
      <w:bookmarkStart w:id="352" w:name="bookmark622"/>
      <w:bookmarkEnd w:id="352"/>
      <w:r>
        <w:rPr>
          <w:rFonts w:hint="eastAsia"/>
          <w:color w:val="auto"/>
          <w:lang w:eastAsia="zh-CN" w:bidi="zh-TW"/>
        </w:rPr>
        <w:t>1.</w:t>
      </w:r>
      <w:r>
        <w:rPr>
          <w:rFonts w:ascii="宋体" w:hAnsi="宋体"/>
          <w:color w:val="auto"/>
          <w:sz w:val="18"/>
          <w:lang w:val="zh-TW" w:eastAsia="zh-TW" w:bidi="zh-TW"/>
        </w:rPr>
        <w:t>特别奖学金每年评审一次，与每年度的评优评奖同步进行。采取个人申报，超额推荐，择优评定的方法。</w:t>
      </w:r>
    </w:p>
    <w:p>
      <w:pPr>
        <w:tabs>
          <w:tab w:val="left" w:pos="764"/>
        </w:tabs>
        <w:spacing w:line="305" w:lineRule="exact"/>
        <w:ind w:firstLine="600" w:firstLineChars="300"/>
        <w:rPr>
          <w:rFonts w:ascii="宋体" w:hAnsi="宋体"/>
          <w:color w:val="auto"/>
          <w:sz w:val="18"/>
          <w:lang w:val="zh-TW" w:eastAsia="zh-TW" w:bidi="zh-TW"/>
        </w:rPr>
      </w:pPr>
      <w:bookmarkStart w:id="353" w:name="bookmark623"/>
      <w:bookmarkEnd w:id="353"/>
      <w:r>
        <w:rPr>
          <w:rFonts w:hint="eastAsia"/>
          <w:color w:val="auto"/>
          <w:lang w:eastAsia="zh-CN" w:bidi="zh-TW"/>
        </w:rPr>
        <w:t>2.</w:t>
      </w:r>
      <w:r>
        <w:rPr>
          <w:rFonts w:ascii="宋体" w:hAnsi="宋体"/>
          <w:color w:val="auto"/>
          <w:sz w:val="18"/>
          <w:lang w:val="zh-TW" w:eastAsia="zh-TW" w:bidi="zh-TW"/>
        </w:rPr>
        <w:t>个人提出书面申请，上报材料包括：</w:t>
      </w:r>
    </w:p>
    <w:p>
      <w:pPr>
        <w:spacing w:line="305" w:lineRule="exact"/>
        <w:ind w:firstLine="420"/>
        <w:rPr>
          <w:rFonts w:ascii="宋体" w:hAnsi="宋体"/>
          <w:color w:val="auto"/>
          <w:szCs w:val="20"/>
          <w:lang w:val="zh-TW" w:eastAsia="zh-TW" w:bidi="zh-TW"/>
        </w:rPr>
      </w:pPr>
      <w:r>
        <w:rPr>
          <w:rFonts w:ascii="宋体" w:hAnsi="宋体"/>
          <w:color w:val="auto"/>
          <w:sz w:val="18"/>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南京航空航天大学金城学院特别奖学金申报审批表</w:t>
      </w:r>
      <w:r>
        <w:rPr>
          <w:color w:val="auto"/>
          <w:szCs w:val="20"/>
          <w:lang w:val="zh-TW" w:eastAsia="zh-TW" w:bidi="zh-TW"/>
        </w:rPr>
        <w:t>；</w:t>
      </w:r>
    </w:p>
    <w:p>
      <w:pPr>
        <w:spacing w:line="305" w:lineRule="exact"/>
        <w:ind w:firstLine="420"/>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2</w:t>
      </w:r>
      <w:r>
        <w:rPr>
          <w:rFonts w:ascii="宋体" w:hAnsi="宋体"/>
          <w:color w:val="auto"/>
          <w:sz w:val="18"/>
          <w:lang w:val="zh-TW" w:eastAsia="zh-TW" w:bidi="zh-TW"/>
        </w:rPr>
        <w:t>）个人或集体的书面申请或事迹材料（不少于</w:t>
      </w:r>
      <w:r>
        <w:rPr>
          <w:color w:val="auto"/>
          <w:szCs w:val="20"/>
          <w:lang w:val="zh-TW" w:eastAsia="zh-TW" w:bidi="zh-TW"/>
        </w:rPr>
        <w:t>1000</w:t>
      </w:r>
      <w:r>
        <w:rPr>
          <w:rFonts w:ascii="宋体" w:hAnsi="宋体"/>
          <w:color w:val="auto"/>
          <w:sz w:val="18"/>
          <w:lang w:val="zh-TW" w:eastAsia="zh-TW" w:bidi="zh-TW"/>
        </w:rPr>
        <w:t>字）</w:t>
      </w:r>
      <w:r>
        <w:rPr>
          <w:rFonts w:hint="eastAsia" w:ascii="宋体" w:hAnsi="宋体"/>
          <w:color w:val="auto"/>
          <w:sz w:val="18"/>
          <w:lang w:val="zh-TW" w:eastAsia="zh-TW" w:bidi="zh-TW"/>
        </w:rPr>
        <w:t>；</w:t>
      </w:r>
    </w:p>
    <w:p>
      <w:pPr>
        <w:spacing w:line="305" w:lineRule="exact"/>
        <w:ind w:firstLine="420"/>
        <w:rPr>
          <w:rFonts w:ascii="宋体" w:hAnsi="宋体"/>
          <w:color w:val="auto"/>
          <w:sz w:val="18"/>
          <w:lang w:val="zh-TW" w:eastAsia="zh-CN" w:bidi="zh-TW"/>
        </w:rPr>
      </w:pPr>
      <w:r>
        <w:rPr>
          <w:rFonts w:ascii="宋体" w:hAnsi="宋体"/>
          <w:color w:val="auto"/>
          <w:sz w:val="18"/>
          <w:szCs w:val="20"/>
          <w:lang w:val="zh-TW" w:eastAsia="zh-TW" w:bidi="zh-TW"/>
        </w:rPr>
        <w:t>（</w:t>
      </w:r>
      <w:r>
        <w:rPr>
          <w:color w:val="auto"/>
          <w:szCs w:val="20"/>
          <w:lang w:val="zh-TW" w:eastAsia="zh-TW" w:bidi="zh-TW"/>
        </w:rPr>
        <w:t>3</w:t>
      </w:r>
      <w:r>
        <w:rPr>
          <w:rFonts w:ascii="宋体" w:hAnsi="宋体"/>
          <w:color w:val="auto"/>
          <w:sz w:val="18"/>
          <w:szCs w:val="20"/>
          <w:lang w:val="zh-TW" w:eastAsia="zh-TW" w:bidi="zh-TW"/>
        </w:rPr>
        <w:t>）</w:t>
      </w:r>
      <w:r>
        <w:rPr>
          <w:rFonts w:ascii="宋体" w:hAnsi="宋体"/>
          <w:color w:val="auto"/>
          <w:sz w:val="18"/>
          <w:lang w:val="zh-TW" w:eastAsia="zh-TW" w:bidi="zh-TW"/>
        </w:rPr>
        <w:t>成绩单、获奖证书复印件及其它有关的有效证明材料</w:t>
      </w:r>
      <w:r>
        <w:rPr>
          <w:rFonts w:hint="eastAsia" w:ascii="宋体" w:hAnsi="宋体"/>
          <w:color w:val="auto"/>
          <w:sz w:val="18"/>
          <w:lang w:val="zh-TW" w:eastAsia="zh-CN" w:bidi="zh-TW"/>
        </w:rPr>
        <w:t>。</w:t>
      </w:r>
    </w:p>
    <w:p>
      <w:pPr>
        <w:tabs>
          <w:tab w:val="left" w:pos="764"/>
        </w:tabs>
        <w:spacing w:after="60" w:line="305" w:lineRule="exact"/>
        <w:ind w:firstLine="600" w:firstLineChars="300"/>
        <w:rPr>
          <w:rFonts w:ascii="宋体" w:hAnsi="宋体"/>
          <w:color w:val="auto"/>
          <w:sz w:val="18"/>
          <w:lang w:val="zh-TW" w:eastAsia="zh-TW" w:bidi="zh-TW"/>
        </w:rPr>
      </w:pPr>
      <w:bookmarkStart w:id="354" w:name="bookmark625"/>
      <w:bookmarkEnd w:id="354"/>
      <w:r>
        <w:rPr>
          <w:rFonts w:hint="eastAsia"/>
          <w:color w:val="auto"/>
          <w:lang w:eastAsia="zh-CN" w:bidi="zh-TW"/>
        </w:rPr>
        <w:t>3.</w:t>
      </w:r>
      <w:r>
        <w:rPr>
          <w:rFonts w:ascii="宋体" w:hAnsi="宋体"/>
          <w:color w:val="auto"/>
          <w:sz w:val="18"/>
          <w:lang w:val="zh-TW" w:eastAsia="zh-TW" w:bidi="zh-TW"/>
        </w:rPr>
        <w:t>评审程序：</w:t>
      </w:r>
    </w:p>
    <w:p>
      <w:pPr>
        <w:tabs>
          <w:tab w:val="left" w:pos="956"/>
        </w:tabs>
        <w:spacing w:line="305" w:lineRule="exact"/>
        <w:ind w:firstLine="420"/>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审阅上报材料；</w:t>
      </w:r>
    </w:p>
    <w:p>
      <w:pPr>
        <w:tabs>
          <w:tab w:val="left" w:pos="956"/>
        </w:tabs>
        <w:spacing w:line="305" w:lineRule="exact"/>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2</w:t>
      </w:r>
      <w:r>
        <w:rPr>
          <w:rFonts w:ascii="宋体" w:hAnsi="宋体"/>
          <w:color w:val="auto"/>
          <w:sz w:val="18"/>
          <w:szCs w:val="20"/>
          <w:lang w:val="zh-TW" w:eastAsia="zh-TW" w:bidi="zh-TW"/>
        </w:rPr>
        <w:t>）</w:t>
      </w:r>
      <w:r>
        <w:rPr>
          <w:rFonts w:ascii="宋体" w:hAnsi="宋体"/>
          <w:color w:val="auto"/>
          <w:sz w:val="18"/>
          <w:lang w:val="zh-TW" w:eastAsia="zh-TW" w:bidi="zh-TW"/>
        </w:rPr>
        <w:t>听取各学院关于上报学生的情况汇报</w:t>
      </w:r>
      <w:r>
        <w:rPr>
          <w:rFonts w:hint="eastAsia" w:ascii="宋体" w:hAnsi="宋体"/>
          <w:color w:val="auto"/>
          <w:sz w:val="18"/>
          <w:lang w:eastAsia="zh-CN" w:bidi="zh-TW"/>
        </w:rPr>
        <w:t>或举办公开答辩会</w:t>
      </w:r>
      <w:r>
        <w:rPr>
          <w:rFonts w:ascii="宋体" w:hAnsi="宋体"/>
          <w:color w:val="auto"/>
          <w:sz w:val="18"/>
          <w:lang w:val="zh-TW" w:eastAsia="zh-TW" w:bidi="zh-TW"/>
        </w:rPr>
        <w:t>；</w:t>
      </w:r>
    </w:p>
    <w:p>
      <w:pPr>
        <w:tabs>
          <w:tab w:val="left" w:pos="949"/>
        </w:tabs>
        <w:spacing w:line="305" w:lineRule="exact"/>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3</w:t>
      </w:r>
      <w:r>
        <w:rPr>
          <w:rFonts w:ascii="宋体" w:hAnsi="宋体"/>
          <w:color w:val="auto"/>
          <w:sz w:val="18"/>
          <w:szCs w:val="20"/>
          <w:lang w:val="zh-TW" w:eastAsia="zh-TW" w:bidi="zh-TW"/>
        </w:rPr>
        <w:t>）</w:t>
      </w:r>
      <w:r>
        <w:rPr>
          <w:rFonts w:ascii="宋体" w:hAnsi="宋体"/>
          <w:color w:val="auto"/>
          <w:sz w:val="18"/>
          <w:lang w:val="zh-TW" w:eastAsia="zh-TW" w:bidi="zh-TW"/>
        </w:rPr>
        <w:t>充分酝酿讨论，采取无记名投票方式，以超过三分之二（含三分之二）多数票确定获奖者。</w:t>
      </w:r>
    </w:p>
    <w:p>
      <w:pPr>
        <w:tabs>
          <w:tab w:val="left" w:pos="956"/>
        </w:tabs>
        <w:spacing w:after="240" w:line="305" w:lineRule="exact"/>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4</w:t>
      </w:r>
      <w:r>
        <w:rPr>
          <w:rFonts w:ascii="宋体" w:hAnsi="宋体"/>
          <w:color w:val="auto"/>
          <w:sz w:val="18"/>
          <w:szCs w:val="20"/>
          <w:lang w:val="zh-TW" w:eastAsia="zh-TW" w:bidi="zh-TW"/>
        </w:rPr>
        <w:t>）</w:t>
      </w:r>
      <w:r>
        <w:rPr>
          <w:rFonts w:ascii="宋体" w:hAnsi="宋体"/>
          <w:color w:val="auto"/>
          <w:sz w:val="18"/>
          <w:lang w:val="zh-TW" w:eastAsia="zh-TW" w:bidi="zh-TW"/>
        </w:rPr>
        <w:t>报学校审批</w:t>
      </w:r>
      <w:r>
        <w:rPr>
          <w:rFonts w:hint="eastAsia" w:ascii="宋体" w:hAnsi="宋体"/>
          <w:color w:val="auto"/>
          <w:sz w:val="18"/>
          <w:lang w:val="zh-TW" w:eastAsia="zh-CN" w:bidi="zh-TW"/>
        </w:rPr>
        <w:t>，</w:t>
      </w:r>
      <w:r>
        <w:rPr>
          <w:rFonts w:ascii="宋体" w:hAnsi="宋体"/>
          <w:color w:val="auto"/>
          <w:sz w:val="18"/>
          <w:lang w:val="zh-TW" w:eastAsia="zh-TW" w:bidi="zh-TW"/>
        </w:rPr>
        <w:t>张榜公示。</w:t>
      </w:r>
    </w:p>
    <w:p>
      <w:pPr>
        <w:tabs>
          <w:tab w:val="left" w:pos="951"/>
        </w:tabs>
        <w:spacing w:after="120"/>
        <w:ind w:firstLine="420"/>
        <w:rPr>
          <w:rFonts w:ascii="宋体" w:hAnsi="宋体"/>
          <w:b/>
          <w:bCs/>
          <w:color w:val="auto"/>
          <w:sz w:val="22"/>
          <w:szCs w:val="22"/>
          <w:lang w:val="zh-TW" w:eastAsia="zh-TW" w:bidi="zh-TW"/>
        </w:rPr>
      </w:pPr>
      <w:bookmarkStart w:id="355" w:name="bookmark630"/>
      <w:r>
        <w:rPr>
          <w:rFonts w:ascii="宋体" w:hAnsi="宋体"/>
          <w:b/>
          <w:bCs/>
          <w:color w:val="auto"/>
          <w:sz w:val="22"/>
          <w:szCs w:val="22"/>
          <w:lang w:val="zh-TW" w:eastAsia="zh-TW" w:bidi="zh-TW"/>
        </w:rPr>
        <w:t>五</w:t>
      </w:r>
      <w:bookmarkEnd w:id="355"/>
      <w:r>
        <w:rPr>
          <w:rFonts w:ascii="宋体" w:hAnsi="宋体"/>
          <w:b/>
          <w:bCs/>
          <w:color w:val="auto"/>
          <w:sz w:val="22"/>
          <w:szCs w:val="22"/>
          <w:lang w:val="zh-TW" w:eastAsia="zh-TW" w:bidi="zh-TW"/>
        </w:rPr>
        <w:t>、表彰与奖励</w:t>
      </w:r>
    </w:p>
    <w:p>
      <w:pPr>
        <w:spacing w:line="307" w:lineRule="exact"/>
        <w:ind w:firstLine="420"/>
        <w:rPr>
          <w:rFonts w:ascii="宋体" w:hAnsi="宋体"/>
          <w:color w:val="auto"/>
          <w:sz w:val="18"/>
          <w:lang w:val="zh-TW" w:eastAsia="zh-TW" w:bidi="zh-TW"/>
        </w:rPr>
      </w:pPr>
      <w:r>
        <w:rPr>
          <w:rFonts w:ascii="宋体" w:hAnsi="宋体"/>
          <w:color w:val="auto"/>
          <w:sz w:val="18"/>
          <w:lang w:val="zh-TW" w:eastAsia="zh-TW" w:bidi="zh-TW"/>
        </w:rPr>
        <w:t>学校召开表彰大会，对获得特别奖学金的学生颁发荣誉证书及奖金，并以学校名义行文通报全</w:t>
      </w:r>
      <w:r>
        <w:rPr>
          <w:rFonts w:hint="eastAsia" w:ascii="宋体" w:hAnsi="宋体"/>
          <w:color w:val="auto"/>
          <w:sz w:val="18"/>
          <w:lang w:eastAsia="zh-CN" w:bidi="zh-TW"/>
        </w:rPr>
        <w:t>校</w:t>
      </w:r>
      <w:r>
        <w:rPr>
          <w:rFonts w:ascii="宋体" w:hAnsi="宋体"/>
          <w:color w:val="auto"/>
          <w:sz w:val="18"/>
          <w:lang w:val="zh-TW" w:eastAsia="zh-TW" w:bidi="zh-TW"/>
        </w:rPr>
        <w:t>，获奖学生的材料归入学生个人档案。</w:t>
      </w:r>
    </w:p>
    <w:p>
      <w:pPr>
        <w:spacing w:after="40" w:line="307" w:lineRule="exact"/>
        <w:ind w:firstLine="420"/>
        <w:rPr>
          <w:rFonts w:ascii="宋体" w:hAnsi="宋体"/>
          <w:color w:val="auto"/>
          <w:sz w:val="18"/>
          <w:lang w:val="zh-TW" w:eastAsia="zh-TW" w:bidi="zh-TW"/>
        </w:rPr>
      </w:pPr>
      <w:r>
        <w:rPr>
          <w:rFonts w:ascii="宋体" w:hAnsi="宋体"/>
          <w:color w:val="auto"/>
          <w:sz w:val="18"/>
          <w:lang w:val="zh-TW" w:eastAsia="zh-TW" w:bidi="zh-TW"/>
        </w:rPr>
        <w:t>本条例由南京航空航天大学金城学院特别奖学金评委会负责解释。</w:t>
      </w:r>
    </w:p>
    <w:p>
      <w:pPr>
        <w:spacing w:after="40" w:line="307" w:lineRule="exact"/>
        <w:ind w:firstLine="420"/>
        <w:rPr>
          <w:rFonts w:ascii="宋体" w:hAnsi="宋体"/>
          <w:color w:val="auto"/>
          <w:sz w:val="18"/>
          <w:lang w:val="zh-TW" w:eastAsia="zh-TW" w:bidi="zh-TW"/>
        </w:rPr>
      </w:pPr>
    </w:p>
    <w:p>
      <w:pPr>
        <w:spacing w:after="40" w:line="307" w:lineRule="exact"/>
        <w:ind w:firstLine="420"/>
        <w:rPr>
          <w:rFonts w:ascii="宋体" w:hAnsi="宋体"/>
          <w:color w:val="auto"/>
          <w:sz w:val="18"/>
          <w:lang w:val="zh-TW" w:eastAsia="zh-TW" w:bidi="zh-TW"/>
        </w:rPr>
        <w:sectPr>
          <w:headerReference r:id="rId32" w:type="first"/>
          <w:footerReference r:id="rId35" w:type="first"/>
          <w:headerReference r:id="rId30" w:type="default"/>
          <w:footerReference r:id="rId33" w:type="default"/>
          <w:headerReference r:id="rId31" w:type="even"/>
          <w:footerReference r:id="rId34" w:type="even"/>
          <w:pgSz w:w="9800" w:h="15120"/>
          <w:pgMar w:top="1043" w:right="652" w:bottom="987" w:left="663" w:header="0" w:footer="3" w:gutter="0"/>
          <w:pgNumType w:fmt="decimal"/>
          <w:cols w:space="720" w:num="1"/>
          <w:titlePg/>
          <w:docGrid w:linePitch="360" w:charSpace="0"/>
        </w:sectPr>
      </w:pPr>
    </w:p>
    <w:p>
      <w:pPr>
        <w:spacing w:after="40" w:line="307" w:lineRule="exact"/>
        <w:ind w:firstLine="420"/>
        <w:rPr>
          <w:rFonts w:ascii="宋体" w:hAnsi="宋体"/>
          <w:color w:val="auto"/>
          <w:sz w:val="18"/>
          <w:lang w:val="zh-TW" w:eastAsia="zh-TW" w:bidi="zh-TW"/>
        </w:rPr>
      </w:pPr>
    </w:p>
    <w:p>
      <w:pPr>
        <w:keepNext/>
        <w:keepLines/>
        <w:spacing w:after="480" w:line="586" w:lineRule="exact"/>
        <w:jc w:val="center"/>
        <w:outlineLvl w:val="0"/>
        <w:rPr>
          <w:rFonts w:ascii="宋体" w:hAnsi="宋体"/>
          <w:color w:val="auto"/>
          <w:sz w:val="38"/>
          <w:szCs w:val="38"/>
          <w:highlight w:val="none"/>
          <w:lang w:val="zh-TW" w:eastAsia="zh-TW" w:bidi="zh-TW"/>
        </w:rPr>
      </w:pPr>
      <w:bookmarkStart w:id="356" w:name="bookmark632"/>
      <w:bookmarkStart w:id="357" w:name="bookmark633"/>
      <w:bookmarkStart w:id="358" w:name="bookmark631"/>
      <w:bookmarkStart w:id="359" w:name="bookmark636"/>
      <w:bookmarkStart w:id="360" w:name="bookmark634"/>
      <w:bookmarkStart w:id="361" w:name="bookmark635"/>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学生违纪处分办法</w:t>
      </w:r>
      <w:bookmarkEnd w:id="356"/>
      <w:bookmarkEnd w:id="357"/>
      <w:bookmarkEnd w:id="358"/>
    </w:p>
    <w:p>
      <w:pPr>
        <w:keepNext/>
        <w:keepLines/>
        <w:spacing w:after="320"/>
        <w:jc w:val="center"/>
        <w:outlineLvl w:val="1"/>
        <w:rPr>
          <w:rFonts w:ascii="宋体" w:hAnsi="宋体"/>
          <w:b/>
          <w:bCs/>
          <w:color w:val="auto"/>
          <w:sz w:val="28"/>
          <w:szCs w:val="28"/>
          <w:lang w:val="zh-TW" w:eastAsia="zh-TW" w:bidi="zh-TW"/>
        </w:rPr>
      </w:pPr>
      <w:r>
        <w:rPr>
          <w:rFonts w:ascii="宋体" w:hAnsi="宋体"/>
          <w:b/>
          <w:bCs/>
          <w:color w:val="auto"/>
          <w:sz w:val="28"/>
          <w:szCs w:val="28"/>
          <w:lang w:val="zh-TW" w:eastAsia="zh-TW" w:bidi="zh-TW"/>
        </w:rPr>
        <w:t>第一章总则</w:t>
      </w:r>
      <w:bookmarkEnd w:id="359"/>
      <w:bookmarkEnd w:id="360"/>
      <w:bookmarkEnd w:id="361"/>
    </w:p>
    <w:p>
      <w:pPr>
        <w:spacing w:line="304"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第一条</w:t>
      </w:r>
      <w:r>
        <w:rPr>
          <w:rFonts w:ascii="宋体" w:hAnsi="宋体"/>
          <w:color w:val="auto"/>
          <w:sz w:val="18"/>
          <w:lang w:val="zh-TW" w:eastAsia="zh-TW" w:bidi="zh-TW"/>
        </w:rPr>
        <w:t>为维护学校正常的教育教学、管理和学习生活秩序，加强校风校纪建设，促进学生</w:t>
      </w:r>
      <w:r>
        <w:rPr>
          <w:rFonts w:hint="eastAsia" w:ascii="宋体" w:hAnsi="宋体"/>
          <w:color w:val="auto"/>
          <w:sz w:val="18"/>
          <w:lang w:val="zh-TW" w:eastAsia="zh-CN" w:bidi="zh-TW"/>
        </w:rPr>
        <w:t>德智体美劳</w:t>
      </w:r>
      <w:r>
        <w:rPr>
          <w:rFonts w:ascii="宋体" w:hAnsi="宋体"/>
          <w:color w:val="auto"/>
          <w:sz w:val="18"/>
          <w:lang w:val="zh-TW" w:eastAsia="zh-TW" w:bidi="zh-TW"/>
        </w:rPr>
        <w:t>全面发展，根据《中华人民共和国教育法》、《中华人民共和国高等教育法》、《普通高校学生管理规定》等法律法规及《南京航空航天大学金城学院学生管理规定》制定本办法。</w:t>
      </w:r>
    </w:p>
    <w:p>
      <w:pPr>
        <w:spacing w:line="304"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第二条</w:t>
      </w:r>
      <w:r>
        <w:rPr>
          <w:rFonts w:ascii="宋体" w:hAnsi="宋体"/>
          <w:color w:val="auto"/>
          <w:sz w:val="18"/>
          <w:lang w:val="zh-TW" w:eastAsia="zh-TW" w:bidi="zh-TW"/>
        </w:rPr>
        <w:t>本办法适用于南京航空航天大学金城学院全日制在籍学生。</w:t>
      </w:r>
    </w:p>
    <w:p>
      <w:pPr>
        <w:spacing w:after="380" w:line="304" w:lineRule="exact"/>
        <w:ind w:firstLine="440"/>
        <w:jc w:val="both"/>
        <w:rPr>
          <w:rFonts w:ascii="宋体" w:hAnsi="宋体"/>
          <w:color w:val="auto"/>
          <w:sz w:val="18"/>
          <w:lang w:val="zh-TW" w:eastAsia="zh-TW" w:bidi="zh-TW"/>
        </w:rPr>
      </w:pPr>
      <w:r>
        <w:rPr>
          <w:rFonts w:ascii="宋体" w:hAnsi="宋体"/>
          <w:b/>
          <w:bCs/>
          <w:color w:val="auto"/>
          <w:sz w:val="18"/>
          <w:lang w:val="zh-TW" w:eastAsia="zh-TW" w:bidi="zh-TW"/>
        </w:rPr>
        <w:t>第三条</w:t>
      </w:r>
      <w:r>
        <w:rPr>
          <w:rFonts w:ascii="宋体" w:hAnsi="宋体"/>
          <w:color w:val="auto"/>
          <w:sz w:val="18"/>
          <w:lang w:val="zh-TW" w:eastAsia="zh-TW" w:bidi="zh-TW"/>
        </w:rPr>
        <w:t>学校处分违纪学生应本着实事求是、客观公正、</w:t>
      </w:r>
      <w:r>
        <w:rPr>
          <w:rFonts w:hint="eastAsia" w:ascii="宋体" w:hAnsi="宋体"/>
          <w:color w:val="auto"/>
          <w:sz w:val="18"/>
          <w:lang w:val="zh-TW" w:eastAsia="zh-TW" w:bidi="zh-TW"/>
        </w:rPr>
        <w:t>惩前毖</w:t>
      </w:r>
      <w:r>
        <w:rPr>
          <w:rFonts w:ascii="宋体" w:hAnsi="宋体"/>
          <w:color w:val="auto"/>
          <w:sz w:val="18"/>
          <w:lang w:val="zh-TW" w:eastAsia="zh-TW" w:bidi="zh-TW"/>
        </w:rPr>
        <w:t>后、治病救人的原则，给予批评教育，并视其情节轻重、危害程度、认识态度给予相应的纪律处分。学生违纪行为涉及犯罪的，移交司法机关处理，学校根据司法机关处理结果结合本条例酌情给予相应的处分。</w:t>
      </w:r>
    </w:p>
    <w:p>
      <w:pPr>
        <w:keepNext/>
        <w:keepLines/>
        <w:spacing w:after="320"/>
        <w:jc w:val="center"/>
        <w:outlineLvl w:val="1"/>
        <w:rPr>
          <w:rFonts w:ascii="宋体" w:hAnsi="宋体"/>
          <w:b/>
          <w:bCs/>
          <w:color w:val="auto"/>
          <w:sz w:val="28"/>
          <w:szCs w:val="28"/>
          <w:lang w:val="zh-TW" w:eastAsia="zh-TW" w:bidi="zh-TW"/>
        </w:rPr>
      </w:pPr>
      <w:bookmarkStart w:id="362" w:name="bookmark639"/>
      <w:bookmarkStart w:id="363" w:name="bookmark637"/>
      <w:bookmarkStart w:id="364" w:name="bookmark638"/>
      <w:r>
        <w:rPr>
          <w:rFonts w:ascii="宋体" w:hAnsi="宋体"/>
          <w:b/>
          <w:bCs/>
          <w:color w:val="auto"/>
          <w:sz w:val="28"/>
          <w:szCs w:val="28"/>
          <w:lang w:val="zh-TW" w:eastAsia="zh-TW" w:bidi="zh-TW"/>
        </w:rPr>
        <w:t>第二章纪律处分种类</w:t>
      </w:r>
      <w:bookmarkEnd w:id="362"/>
      <w:bookmarkEnd w:id="363"/>
      <w:bookmarkEnd w:id="364"/>
    </w:p>
    <w:p>
      <w:pPr>
        <w:spacing w:line="293" w:lineRule="exact"/>
        <w:ind w:firstLine="440"/>
        <w:rPr>
          <w:rFonts w:ascii="宋体" w:hAnsi="宋体"/>
          <w:color w:val="auto"/>
          <w:sz w:val="18"/>
          <w:lang w:val="zh-TW" w:eastAsia="zh-TW" w:bidi="zh-TW"/>
        </w:rPr>
      </w:pPr>
      <w:r>
        <w:rPr>
          <w:rFonts w:ascii="宋体" w:hAnsi="宋体"/>
          <w:b/>
          <w:bCs/>
          <w:color w:val="auto"/>
          <w:sz w:val="18"/>
          <w:lang w:val="zh-TW" w:eastAsia="zh-TW" w:bidi="zh-TW"/>
        </w:rPr>
        <w:t>第四条</w:t>
      </w:r>
      <w:r>
        <w:rPr>
          <w:rFonts w:ascii="宋体" w:hAnsi="宋体"/>
          <w:color w:val="auto"/>
          <w:sz w:val="18"/>
          <w:lang w:val="zh-TW" w:eastAsia="zh-TW" w:bidi="zh-TW"/>
        </w:rPr>
        <w:t>纪律处分分为下列五种：</w:t>
      </w:r>
    </w:p>
    <w:p>
      <w:pPr>
        <w:tabs>
          <w:tab w:val="left" w:pos="1077"/>
        </w:tabs>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（一）警告；</w:t>
      </w:r>
    </w:p>
    <w:p>
      <w:pPr>
        <w:tabs>
          <w:tab w:val="left" w:pos="1077"/>
        </w:tabs>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（二）严重</w:t>
      </w:r>
      <w:r>
        <w:rPr>
          <w:rFonts w:hint="eastAsia" w:ascii="宋体" w:hAnsi="宋体"/>
          <w:color w:val="auto"/>
          <w:sz w:val="18"/>
          <w:lang w:val="zh-TW" w:eastAsia="zh-TW" w:bidi="zh-TW"/>
        </w:rPr>
        <w:t>警告</w:t>
      </w:r>
      <w:r>
        <w:rPr>
          <w:rFonts w:ascii="宋体" w:hAnsi="宋体"/>
          <w:color w:val="auto"/>
          <w:sz w:val="18"/>
          <w:lang w:val="zh-TW" w:eastAsia="zh-TW" w:bidi="zh-TW"/>
        </w:rPr>
        <w:t>；</w:t>
      </w:r>
    </w:p>
    <w:p>
      <w:pPr>
        <w:tabs>
          <w:tab w:val="left" w:pos="1077"/>
        </w:tabs>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（三）记过；</w:t>
      </w:r>
    </w:p>
    <w:p>
      <w:pPr>
        <w:tabs>
          <w:tab w:val="left" w:pos="1077"/>
        </w:tabs>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（四）留校察看；</w:t>
      </w:r>
    </w:p>
    <w:p>
      <w:pPr>
        <w:tabs>
          <w:tab w:val="left" w:pos="1077"/>
        </w:tabs>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（五）开除学籍。</w:t>
      </w:r>
    </w:p>
    <w:p>
      <w:pPr>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各学院有处分学生的权力。学生违法、违纪行为情节轻微的，由学生所在学院视情况给予通报批评，警告或严重警告的处理。特殊情况，由学校通报批评。</w:t>
      </w:r>
    </w:p>
    <w:p>
      <w:pPr>
        <w:spacing w:line="293" w:lineRule="exact"/>
        <w:ind w:firstLine="440"/>
        <w:rPr>
          <w:rFonts w:ascii="宋体" w:hAnsi="宋体"/>
          <w:color w:val="auto"/>
          <w:sz w:val="18"/>
          <w:lang w:val="zh-TW" w:eastAsia="zh-TW" w:bidi="zh-TW"/>
        </w:rPr>
      </w:pPr>
      <w:r>
        <w:rPr>
          <w:rFonts w:ascii="宋体" w:hAnsi="宋体"/>
          <w:b/>
          <w:bCs/>
          <w:color w:val="auto"/>
          <w:sz w:val="18"/>
          <w:lang w:val="zh-TW" w:eastAsia="zh-TW" w:bidi="zh-TW"/>
        </w:rPr>
        <w:t>第五条</w:t>
      </w:r>
      <w:r>
        <w:rPr>
          <w:rFonts w:ascii="宋体" w:hAnsi="宋体"/>
          <w:color w:val="auto"/>
          <w:sz w:val="18"/>
          <w:lang w:val="zh-TW" w:eastAsia="zh-TW" w:bidi="zh-TW"/>
        </w:rPr>
        <w:t>有下列情形之一者，可以在应受处分的基础上加重处分：</w:t>
      </w:r>
    </w:p>
    <w:p>
      <w:pPr>
        <w:tabs>
          <w:tab w:val="left" w:pos="1077"/>
        </w:tabs>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（一）违纪事实确凿却拒不承认错误者；</w:t>
      </w:r>
    </w:p>
    <w:p>
      <w:pPr>
        <w:tabs>
          <w:tab w:val="left" w:pos="1077"/>
        </w:tabs>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（二）对检举人、证人、工作人员进行威胁者；</w:t>
      </w:r>
    </w:p>
    <w:p>
      <w:pPr>
        <w:tabs>
          <w:tab w:val="left" w:pos="1077"/>
        </w:tabs>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（三）</w:t>
      </w:r>
      <w:r>
        <w:rPr>
          <w:rFonts w:hint="eastAsia" w:ascii="宋体" w:hAnsi="宋体"/>
          <w:color w:val="auto"/>
          <w:sz w:val="18"/>
          <w:lang w:val="zh-TW" w:eastAsia="zh-TW" w:bidi="zh-TW"/>
        </w:rPr>
        <w:t>一</w:t>
      </w:r>
      <w:r>
        <w:rPr>
          <w:rFonts w:ascii="宋体" w:hAnsi="宋体"/>
          <w:color w:val="auto"/>
          <w:sz w:val="18"/>
          <w:lang w:val="zh-TW" w:eastAsia="zh-TW" w:bidi="zh-TW"/>
        </w:rPr>
        <w:t>次违纪触犯本办法中多条款者或一年内两次以上违纪者；</w:t>
      </w:r>
    </w:p>
    <w:p>
      <w:pPr>
        <w:spacing w:line="293" w:lineRule="exact"/>
        <w:ind w:firstLine="440"/>
        <w:rPr>
          <w:rFonts w:ascii="宋体" w:hAnsi="宋体"/>
          <w:color w:val="auto"/>
          <w:sz w:val="18"/>
          <w:lang w:val="zh-TW" w:eastAsia="zh-TW" w:bidi="zh-TW"/>
        </w:rPr>
      </w:pPr>
      <w:r>
        <w:rPr>
          <w:rFonts w:ascii="宋体" w:hAnsi="宋体"/>
          <w:b/>
          <w:bCs/>
          <w:color w:val="auto"/>
          <w:sz w:val="18"/>
          <w:lang w:val="zh-TW" w:eastAsia="zh-TW" w:bidi="zh-TW"/>
        </w:rPr>
        <w:t>第六条</w:t>
      </w:r>
      <w:r>
        <w:rPr>
          <w:rFonts w:ascii="宋体" w:hAnsi="宋体"/>
          <w:color w:val="auto"/>
          <w:sz w:val="18"/>
          <w:lang w:val="zh-TW" w:eastAsia="zh-TW" w:bidi="zh-TW"/>
        </w:rPr>
        <w:t>有下列情形之一者，可以减轻或免予处分：</w:t>
      </w:r>
    </w:p>
    <w:p>
      <w:pPr>
        <w:spacing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）主动交代违纪事实者；</w:t>
      </w:r>
    </w:p>
    <w:p>
      <w:pPr>
        <w:spacing w:after="380" w:line="293" w:lineRule="exact"/>
        <w:ind w:firstLine="440"/>
        <w:jc w:val="both"/>
        <w:rPr>
          <w:rFonts w:ascii="宋体" w:hAnsi="宋体"/>
          <w:color w:val="auto"/>
          <w:sz w:val="18"/>
          <w:lang w:val="zh-TW" w:eastAsia="zh-TW" w:bidi="zh-TW"/>
        </w:rPr>
      </w:pPr>
      <w:r>
        <w:rPr>
          <w:rFonts w:ascii="宋体" w:hAnsi="宋体"/>
          <w:color w:val="auto"/>
          <w:sz w:val="18"/>
          <w:lang w:val="zh-TW" w:eastAsia="zh-TW" w:bidi="zh-TW"/>
        </w:rPr>
        <w:t>（二）有立功表现者；</w:t>
      </w:r>
    </w:p>
    <w:p>
      <w:pPr>
        <w:keepNext/>
        <w:keepLines/>
        <w:spacing w:after="320"/>
        <w:jc w:val="center"/>
        <w:outlineLvl w:val="1"/>
        <w:rPr>
          <w:rFonts w:ascii="宋体" w:hAnsi="宋体"/>
          <w:b/>
          <w:bCs/>
          <w:color w:val="auto"/>
          <w:sz w:val="28"/>
          <w:szCs w:val="28"/>
          <w:lang w:val="zh-TW" w:eastAsia="zh-TW" w:bidi="zh-TW"/>
        </w:rPr>
      </w:pPr>
      <w:bookmarkStart w:id="365" w:name="bookmark649"/>
      <w:bookmarkStart w:id="366" w:name="bookmark651"/>
      <w:bookmarkStart w:id="367" w:name="bookmark650"/>
      <w:r>
        <w:rPr>
          <w:rFonts w:ascii="宋体" w:hAnsi="宋体"/>
          <w:b/>
          <w:bCs/>
          <w:color w:val="auto"/>
          <w:sz w:val="28"/>
          <w:szCs w:val="28"/>
          <w:lang w:val="zh-TW" w:eastAsia="zh-TW" w:bidi="zh-TW"/>
        </w:rPr>
        <w:t>第三章违纪行为及处分</w:t>
      </w:r>
      <w:bookmarkEnd w:id="365"/>
      <w:bookmarkEnd w:id="366"/>
      <w:bookmarkEnd w:id="367"/>
    </w:p>
    <w:p>
      <w:pPr>
        <w:spacing w:line="293" w:lineRule="exact"/>
        <w:ind w:firstLine="440"/>
        <w:rPr>
          <w:rFonts w:ascii="宋体" w:hAnsi="宋体"/>
          <w:color w:val="auto"/>
          <w:sz w:val="18"/>
          <w:lang w:val="zh-TW" w:eastAsia="zh-TW" w:bidi="zh-TW"/>
        </w:rPr>
      </w:pPr>
      <w:r>
        <w:rPr>
          <w:rFonts w:ascii="宋体" w:hAnsi="宋体"/>
          <w:b/>
          <w:bCs/>
          <w:color w:val="auto"/>
          <w:sz w:val="18"/>
          <w:lang w:val="zh-TW" w:eastAsia="zh-TW" w:bidi="zh-TW"/>
        </w:rPr>
        <w:t>第七条</w:t>
      </w:r>
      <w:r>
        <w:rPr>
          <w:rFonts w:ascii="宋体" w:hAnsi="宋体"/>
          <w:color w:val="auto"/>
          <w:sz w:val="18"/>
          <w:lang w:val="zh-TW" w:eastAsia="zh-TW" w:bidi="zh-TW"/>
        </w:rPr>
        <w:t>学生有下列情形之一，学校给予开除学籍处分：</w:t>
      </w:r>
    </w:p>
    <w:p>
      <w:pPr>
        <w:spacing w:line="293" w:lineRule="exact"/>
        <w:ind w:firstLine="440"/>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）违反宪法，反对四项基本原则、破坏安定团结、扰乱社会秩序；</w:t>
      </w:r>
    </w:p>
    <w:p>
      <w:pPr>
        <w:tabs>
          <w:tab w:val="left" w:pos="1062"/>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（二）触犯国家法律，构成刑事犯罪或被司法机关生效裁决处以劳动教养者；</w:t>
      </w:r>
    </w:p>
    <w:p>
      <w:pPr>
        <w:tabs>
          <w:tab w:val="left" w:pos="1062"/>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（三）违反《中华人民共和国治安管理处罚条例》，情节严重，被行政拘留十天以上者；</w:t>
      </w:r>
    </w:p>
    <w:p>
      <w:pPr>
        <w:tabs>
          <w:tab w:val="left" w:pos="1062"/>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（四）参与吸毒、贩毒者，被移送司法机关者；</w:t>
      </w:r>
    </w:p>
    <w:p>
      <w:pPr>
        <w:tabs>
          <w:tab w:val="left" w:pos="1062"/>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（五）对组织、参与卖淫、嫖娼等非法活动者；</w:t>
      </w:r>
    </w:p>
    <w:p>
      <w:pPr>
        <w:tabs>
          <w:tab w:val="left" w:pos="1050"/>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（六）学位论文、公开发表的研究成果存在抄袭、篡改、伪造等学术不端行为，情节严重的，或者代写论文、买卖论文的；</w:t>
      </w:r>
    </w:p>
    <w:p>
      <w:pPr>
        <w:tabs>
          <w:tab w:val="left" w:pos="1054"/>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（七）违反本规定和学校规定，严重影响学校教育教学秩序、生活秩序以及公共场所管理秩序的；</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八</w:t>
      </w:r>
      <w:r>
        <w:rPr>
          <w:rFonts w:hint="eastAsia" w:ascii="宋体" w:hAnsi="宋体"/>
          <w:color w:val="auto"/>
          <w:sz w:val="18"/>
          <w:szCs w:val="20"/>
          <w:lang w:val="zh-TW" w:eastAsia="zh-TW" w:bidi="zh-TW"/>
        </w:rPr>
        <w:t>）</w:t>
      </w:r>
      <w:r>
        <w:rPr>
          <w:rFonts w:ascii="宋体" w:hAnsi="宋体"/>
          <w:color w:val="auto"/>
          <w:sz w:val="18"/>
          <w:lang w:val="zh-TW" w:eastAsia="zh-TW" w:bidi="zh-TW"/>
        </w:rPr>
        <w:t>屡次违反学校规定受到纪律处分，受过留校处分，经教育不改的。</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（九）由他人代替考试、替他人参加考试、组织作弊、使用通讯设备作弊等严重作弊行为者。</w:t>
      </w:r>
    </w:p>
    <w:p>
      <w:pPr>
        <w:spacing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第八条</w:t>
      </w:r>
      <w:r>
        <w:rPr>
          <w:rFonts w:ascii="宋体" w:hAnsi="宋体"/>
          <w:color w:val="auto"/>
          <w:sz w:val="18"/>
          <w:lang w:val="zh-TW" w:eastAsia="zh-TW" w:bidi="zh-TW"/>
        </w:rPr>
        <w:t>对违反国家宪法、法律、法规者，除移交司法部门或其他执法部门处理外，视情形分别给予下列处分：</w:t>
      </w:r>
    </w:p>
    <w:p>
      <w:pPr>
        <w:tabs>
          <w:tab w:val="left" w:pos="1040"/>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（一）因触犯法律被司法机关立案侦查，犯罪事实清楚，但被免予刑事处罚或免予起诉的给予留校察看处分；</w:t>
      </w:r>
    </w:p>
    <w:p>
      <w:pPr>
        <w:tabs>
          <w:tab w:val="left" w:pos="1059"/>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（二）因违反《中华人民共和国治安管理处罚条例》，被行政拘留九天以下者，给予留校察看处分；被处以治安警告、罚款者，视情节轻重给予严重警告或记过处分；</w:t>
      </w:r>
    </w:p>
    <w:p>
      <w:pPr>
        <w:tabs>
          <w:tab w:val="left" w:pos="1064"/>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（三）因触犯国家法律，被公安、司法机关取保候审、监视居住者，学校视情况可留其继续在学校学习；对临近毕业者，学校暂不发放毕业证等相关证书，待案件审理终结后视情况决定是否发放相关证书。</w:t>
      </w:r>
    </w:p>
    <w:p>
      <w:pPr>
        <w:tabs>
          <w:tab w:val="left" w:pos="1064"/>
        </w:tabs>
        <w:spacing w:line="302" w:lineRule="exact"/>
        <w:ind w:firstLine="420"/>
        <w:jc w:val="both"/>
        <w:rPr>
          <w:rFonts w:ascii="宋体" w:hAnsi="宋体"/>
          <w:color w:val="auto"/>
          <w:sz w:val="18"/>
          <w:lang w:val="zh-TW" w:eastAsia="zh-TW" w:bidi="zh-TW"/>
        </w:rPr>
      </w:pPr>
      <w:r>
        <w:rPr>
          <w:rFonts w:hint="eastAsia" w:ascii="宋体" w:hAnsi="宋体"/>
          <w:b/>
          <w:bCs/>
          <w:color w:val="auto"/>
          <w:sz w:val="18"/>
          <w:lang w:val="zh-TW" w:eastAsia="zh-TW" w:bidi="zh-TW"/>
        </w:rPr>
        <w:t>第九条</w:t>
      </w:r>
      <w:r>
        <w:rPr>
          <w:rFonts w:hint="eastAsia" w:ascii="宋体" w:hAnsi="宋体"/>
          <w:color w:val="auto"/>
          <w:sz w:val="18"/>
          <w:lang w:val="zh-TW" w:eastAsia="zh-TW" w:bidi="zh-TW"/>
        </w:rPr>
        <w:t>在新型冠状病毒肺炎疫情或其他传染性疾病防控期间，迟报、谎报、瞒报、漏报旅居史、接触史、健康状况等疫情防控重点信息，不服从学校新冠肺炎疫情或其他传染性疾病防控管理，造成严重后果的除由相关部门依据《中华人民共和国突发事件应对法》、《中华人民共和国传染病防治法》等法律法规处理外，视情节轻重，给予严重警告以上处分。</w:t>
      </w:r>
    </w:p>
    <w:p>
      <w:pPr>
        <w:spacing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w:t>
      </w:r>
      <w:r>
        <w:rPr>
          <w:rFonts w:hint="eastAsia" w:ascii="宋体" w:hAnsi="宋体"/>
          <w:b/>
          <w:bCs/>
          <w:color w:val="auto"/>
          <w:sz w:val="18"/>
          <w:lang w:val="zh-TW" w:eastAsia="zh-TW" w:bidi="zh-TW"/>
        </w:rPr>
        <w:t>十</w:t>
      </w:r>
      <w:r>
        <w:rPr>
          <w:rFonts w:ascii="宋体" w:hAnsi="宋体"/>
          <w:b/>
          <w:bCs/>
          <w:color w:val="auto"/>
          <w:sz w:val="18"/>
          <w:lang w:val="zh-TW" w:eastAsia="zh-TW" w:bidi="zh-TW"/>
        </w:rPr>
        <w:t>条</w:t>
      </w:r>
      <w:r>
        <w:rPr>
          <w:rFonts w:ascii="宋体" w:hAnsi="宋体"/>
          <w:color w:val="auto"/>
          <w:sz w:val="18"/>
          <w:lang w:val="zh-TW" w:eastAsia="zh-TW" w:bidi="zh-TW"/>
        </w:rPr>
        <w:t>有偷窃、敲诈勒索、故意损坏等非法侵犯公私财物行为者，给予记过处分；</w:t>
      </w:r>
      <w:r>
        <w:rPr>
          <w:rFonts w:hint="eastAsia" w:ascii="宋体" w:hAnsi="宋体"/>
          <w:color w:val="auto"/>
          <w:sz w:val="18"/>
          <w:lang w:val="zh-TW" w:eastAsia="zh-CN" w:bidi="zh-TW"/>
        </w:rPr>
        <w:t>情</w:t>
      </w:r>
      <w:r>
        <w:rPr>
          <w:rFonts w:ascii="宋体" w:hAnsi="宋体"/>
          <w:color w:val="auto"/>
          <w:sz w:val="18"/>
          <w:lang w:val="zh-TW" w:eastAsia="zh-TW" w:bidi="zh-TW"/>
        </w:rPr>
        <w:t>节严重或抢夺、诈骗公私财物者，给予留校察看以上处分。</w:t>
      </w:r>
    </w:p>
    <w:p>
      <w:pPr>
        <w:spacing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w:t>
      </w:r>
      <w:r>
        <w:rPr>
          <w:rFonts w:hint="eastAsia" w:ascii="宋体" w:hAnsi="宋体"/>
          <w:b/>
          <w:bCs/>
          <w:color w:val="auto"/>
          <w:sz w:val="18"/>
          <w:lang w:val="zh-TW" w:eastAsia="zh-TW" w:bidi="zh-TW"/>
        </w:rPr>
        <w:t>一</w:t>
      </w:r>
      <w:r>
        <w:rPr>
          <w:rFonts w:ascii="宋体" w:hAnsi="宋体"/>
          <w:b/>
          <w:bCs/>
          <w:color w:val="auto"/>
          <w:sz w:val="18"/>
          <w:lang w:val="zh-TW" w:eastAsia="zh-TW" w:bidi="zh-TW"/>
        </w:rPr>
        <w:t>条</w:t>
      </w:r>
      <w:r>
        <w:rPr>
          <w:rFonts w:ascii="宋体" w:hAnsi="宋体"/>
          <w:color w:val="auto"/>
          <w:sz w:val="18"/>
          <w:lang w:val="zh-TW" w:eastAsia="zh-TW" w:bidi="zh-TW"/>
        </w:rPr>
        <w:t>偷窃公章、机密文件、档案等物品者，视情节轻重，给予记过以上处分。</w:t>
      </w:r>
    </w:p>
    <w:p>
      <w:pPr>
        <w:spacing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w:t>
      </w:r>
      <w:r>
        <w:rPr>
          <w:rFonts w:hint="eastAsia" w:ascii="宋体" w:hAnsi="宋体"/>
          <w:b/>
          <w:bCs/>
          <w:color w:val="auto"/>
          <w:sz w:val="18"/>
          <w:lang w:val="zh-TW" w:eastAsia="zh-TW" w:bidi="zh-TW"/>
        </w:rPr>
        <w:t>二</w:t>
      </w:r>
      <w:r>
        <w:rPr>
          <w:rFonts w:ascii="宋体" w:hAnsi="宋体"/>
          <w:b/>
          <w:bCs/>
          <w:color w:val="auto"/>
          <w:sz w:val="18"/>
          <w:lang w:val="zh-TW" w:eastAsia="zh-TW" w:bidi="zh-TW"/>
        </w:rPr>
        <w:t>条</w:t>
      </w:r>
      <w:r>
        <w:rPr>
          <w:rFonts w:ascii="宋体" w:hAnsi="宋体"/>
          <w:color w:val="auto"/>
          <w:sz w:val="18"/>
          <w:lang w:val="zh-TW" w:eastAsia="zh-TW" w:bidi="zh-TW"/>
        </w:rPr>
        <w:t>窝藏、销毁、转移、购买赃物者，视情节轻重，给予警告以上处分；构成犯罪的，移交司法</w:t>
      </w:r>
      <w:r>
        <w:rPr>
          <w:rFonts w:hint="eastAsia" w:ascii="宋体" w:hAnsi="宋体"/>
          <w:color w:val="auto"/>
          <w:sz w:val="18"/>
          <w:lang w:val="zh-TW" w:eastAsia="zh-TW" w:bidi="zh-TW"/>
        </w:rPr>
        <w:t>机</w:t>
      </w:r>
      <w:r>
        <w:rPr>
          <w:rFonts w:ascii="宋体" w:hAnsi="宋体"/>
          <w:color w:val="auto"/>
          <w:sz w:val="18"/>
          <w:lang w:val="zh-TW" w:eastAsia="zh-TW" w:bidi="zh-TW"/>
        </w:rPr>
        <w:t>关处理。</w:t>
      </w:r>
    </w:p>
    <w:p>
      <w:pPr>
        <w:spacing w:line="302" w:lineRule="exact"/>
        <w:ind w:left="420"/>
        <w:jc w:val="both"/>
        <w:rPr>
          <w:rFonts w:ascii="宋体" w:hAnsi="宋体"/>
          <w:color w:val="auto"/>
          <w:sz w:val="18"/>
          <w:lang w:val="zh-TW" w:eastAsia="zh-TW" w:bidi="zh-TW"/>
        </w:rPr>
      </w:pPr>
      <w:r>
        <w:rPr>
          <w:rFonts w:ascii="宋体" w:hAnsi="宋体"/>
          <w:b/>
          <w:bCs/>
          <w:color w:val="auto"/>
          <w:sz w:val="18"/>
          <w:lang w:val="zh-TW" w:eastAsia="zh-TW" w:bidi="zh-TW"/>
        </w:rPr>
        <w:t>第十</w:t>
      </w:r>
      <w:r>
        <w:rPr>
          <w:rFonts w:hint="eastAsia" w:ascii="宋体" w:hAnsi="宋体"/>
          <w:b/>
          <w:bCs/>
          <w:color w:val="auto"/>
          <w:sz w:val="18"/>
          <w:lang w:val="zh-TW" w:eastAsia="zh-TW" w:bidi="zh-TW"/>
        </w:rPr>
        <w:t>三</w:t>
      </w:r>
      <w:r>
        <w:rPr>
          <w:rFonts w:ascii="宋体" w:hAnsi="宋体"/>
          <w:b/>
          <w:bCs/>
          <w:color w:val="auto"/>
          <w:sz w:val="18"/>
          <w:lang w:val="zh-TW" w:eastAsia="zh-TW" w:bidi="zh-TW"/>
        </w:rPr>
        <w:t>条</w:t>
      </w:r>
      <w:r>
        <w:rPr>
          <w:rFonts w:ascii="宋体" w:hAnsi="宋体"/>
          <w:color w:val="auto"/>
          <w:sz w:val="18"/>
          <w:lang w:val="zh-TW" w:eastAsia="zh-TW" w:bidi="zh-TW"/>
        </w:rPr>
        <w:t>对违反学生住宿管理有关规定者，视不同情况，分别给予下列处分：</w:t>
      </w:r>
    </w:p>
    <w:p>
      <w:pPr>
        <w:tabs>
          <w:tab w:val="left" w:pos="1062"/>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（一）私自违章使用各种电热设备或私拉电线的，视情节轻重给予警告以上处分；</w:t>
      </w:r>
    </w:p>
    <w:p>
      <w:pPr>
        <w:tabs>
          <w:tab w:val="left" w:pos="1059"/>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（二）在学校规定的学生休息时间内和宿舍熄灯后，在学生宿舍区喧哗吵闹的，对初次违纪者给予批评教育，屡次违纪者视情节给予警告以上处分；翻越宿舍围栏外出者，给予警告以上处分；</w:t>
      </w:r>
    </w:p>
    <w:p>
      <w:pPr>
        <w:tabs>
          <w:tab w:val="left" w:pos="1059"/>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在校园内违章燃放烟花爆竹，进行高空抛物以及其它危害公共安全行为，或者在教室、实验室等喧哗吵闹，扰乱学校正常教育教学秩序、生活秩序以及公共场所管理秩序者，视情节轻重给予警告以上处分，造成严重后果者，除赔偿经济损失外，给予留校察看处分。</w:t>
      </w:r>
    </w:p>
    <w:p>
      <w:pPr>
        <w:tabs>
          <w:tab w:val="left" w:pos="1054"/>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（四）私自留宿校外人员者，给予警告处分，造成后果的，给予严重警告以上处分；留宿异性或在异性宿舍留宿者，给予记过处分，造成后果的，给予留校察看以上处分。</w:t>
      </w:r>
    </w:p>
    <w:p>
      <w:pPr>
        <w:tabs>
          <w:tab w:val="left" w:pos="1066"/>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（五）住校学生未经许可夜不归宿或在校外租房居住者，给予警告以上处分。</w:t>
      </w:r>
    </w:p>
    <w:p>
      <w:pPr>
        <w:tabs>
          <w:tab w:val="left" w:pos="1059"/>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（六）对住校学生未经许可、迟归次数较多，宿舍卫生差、批评后屡教不改的学生，给予相关的处理。</w:t>
      </w:r>
    </w:p>
    <w:p>
      <w:pPr>
        <w:spacing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w:t>
      </w:r>
      <w:r>
        <w:rPr>
          <w:rFonts w:hint="eastAsia" w:ascii="宋体" w:hAnsi="宋体"/>
          <w:b/>
          <w:bCs/>
          <w:color w:val="auto"/>
          <w:sz w:val="18"/>
          <w:lang w:val="zh-TW" w:eastAsia="zh-TW" w:bidi="zh-TW"/>
        </w:rPr>
        <w:t>四</w:t>
      </w:r>
      <w:r>
        <w:rPr>
          <w:rFonts w:ascii="宋体" w:hAnsi="宋体"/>
          <w:b/>
          <w:bCs/>
          <w:color w:val="auto"/>
          <w:sz w:val="18"/>
          <w:lang w:val="zh-TW" w:eastAsia="zh-TW" w:bidi="zh-TW"/>
        </w:rPr>
        <w:t>条</w:t>
      </w:r>
      <w:r>
        <w:rPr>
          <w:rFonts w:ascii="宋体" w:hAnsi="宋体"/>
          <w:color w:val="auto"/>
          <w:sz w:val="18"/>
          <w:lang w:val="zh-TW" w:eastAsia="zh-TW" w:bidi="zh-TW"/>
        </w:rPr>
        <w:t>对参与赌博和为他人提供赌博场所或赌具的，分别给予下列处分：</w:t>
      </w:r>
    </w:p>
    <w:p>
      <w:pPr>
        <w:tabs>
          <w:tab w:val="left" w:pos="1062"/>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（一）对提供赌具或赌博场所者，给予警告以上处分；</w:t>
      </w:r>
    </w:p>
    <w:p>
      <w:pPr>
        <w:tabs>
          <w:tab w:val="left" w:pos="1069"/>
        </w:tabs>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（二）对赌博的组织者，给予记过以上处分；对一般参与者，给予严重警告以上处分</w:t>
      </w:r>
      <w:r>
        <w:rPr>
          <w:rFonts w:hint="eastAsia" w:ascii="宋体" w:hAnsi="宋体"/>
          <w:color w:val="auto"/>
          <w:sz w:val="18"/>
          <w:lang w:val="zh-TW" w:eastAsia="zh-TW" w:bidi="zh-TW"/>
        </w:rPr>
        <w:t>；</w:t>
      </w:r>
      <w:r>
        <w:rPr>
          <w:rFonts w:ascii="宋体" w:hAnsi="宋体"/>
          <w:color w:val="auto"/>
          <w:sz w:val="18"/>
          <w:lang w:val="zh-TW" w:eastAsia="zh-TW" w:bidi="zh-TW"/>
        </w:rPr>
        <w:t>对情节特别严重、影响恶劣者，给予留校察看以上处分；</w:t>
      </w:r>
    </w:p>
    <w:p>
      <w:pPr>
        <w:spacing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w:t>
      </w:r>
      <w:r>
        <w:rPr>
          <w:rFonts w:hint="eastAsia" w:ascii="宋体" w:hAnsi="宋体"/>
          <w:b/>
          <w:bCs/>
          <w:color w:val="auto"/>
          <w:sz w:val="18"/>
          <w:lang w:val="zh-TW" w:eastAsia="zh-TW" w:bidi="zh-TW"/>
        </w:rPr>
        <w:t>五</w:t>
      </w:r>
      <w:r>
        <w:rPr>
          <w:rFonts w:ascii="宋体" w:hAnsi="宋体"/>
          <w:b/>
          <w:bCs/>
          <w:color w:val="auto"/>
          <w:sz w:val="18"/>
          <w:lang w:val="zh-TW" w:eastAsia="zh-TW" w:bidi="zh-TW"/>
        </w:rPr>
        <w:t>条</w:t>
      </w:r>
      <w:r>
        <w:rPr>
          <w:rFonts w:ascii="宋体" w:hAnsi="宋体"/>
          <w:color w:val="auto"/>
          <w:sz w:val="18"/>
          <w:lang w:val="zh-TW" w:eastAsia="zh-TW" w:bidi="zh-TW"/>
        </w:rPr>
        <w:t>对违反国家和学校关于使用计算机、网络相关规定者，分别给予以下处分：</w:t>
      </w:r>
    </w:p>
    <w:p>
      <w:pPr>
        <w:tabs>
          <w:tab w:val="left" w:pos="1059"/>
        </w:tabs>
        <w:spacing w:line="298" w:lineRule="exact"/>
        <w:ind w:firstLine="420"/>
        <w:jc w:val="both"/>
        <w:rPr>
          <w:rFonts w:ascii="宋体" w:hAnsi="宋体"/>
          <w:color w:val="auto"/>
          <w:sz w:val="18"/>
          <w:lang w:val="zh-TW" w:eastAsia="zh-TW" w:bidi="zh-TW"/>
        </w:rPr>
      </w:pPr>
      <w:r>
        <w:rPr>
          <w:rFonts w:ascii="宋体" w:hAnsi="宋体"/>
          <w:color w:val="auto"/>
          <w:sz w:val="18"/>
          <w:lang w:val="zh-CN" w:eastAsia="zh-CN" w:bidi="zh-CN"/>
        </w:rPr>
        <w:t>（一）</w:t>
      </w:r>
      <w:r>
        <w:rPr>
          <w:rFonts w:ascii="宋体" w:hAnsi="宋体"/>
          <w:color w:val="auto"/>
          <w:sz w:val="18"/>
          <w:lang w:val="zh-TW" w:eastAsia="zh-TW" w:bidi="zh-TW"/>
        </w:rPr>
        <w:t>散布混淆视听信息、传播黄色信息、制造混乱言论或造成他人名誉伤害者，视后果严重程度，给予严重警告以上处分；</w:t>
      </w:r>
    </w:p>
    <w:p>
      <w:pPr>
        <w:tabs>
          <w:tab w:val="left" w:pos="1059"/>
        </w:tabs>
        <w:spacing w:line="298"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（二）盗取他人帐号、密码和信息资料进行违法违纪活动者，视其情节轻重，给予严重警告以上处分；</w:t>
      </w:r>
    </w:p>
    <w:p>
      <w:pPr>
        <w:tabs>
          <w:tab w:val="left" w:pos="1050"/>
        </w:tabs>
        <w:spacing w:line="298"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（三）对制造、传播计算机病毒者或对计算机系统、网络造成损害者，视后果严重程度，给予记过以上处分；</w:t>
      </w:r>
    </w:p>
    <w:p>
      <w:pPr>
        <w:tabs>
          <w:tab w:val="left" w:pos="1062"/>
        </w:tabs>
        <w:spacing w:line="298"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（四）对煽动闹事、破坏正常教育教学、生活秩序者，视其情节轻重，给予记过以上处分</w:t>
      </w:r>
      <w:r>
        <w:rPr>
          <w:rFonts w:hint="eastAsia" w:ascii="宋体" w:hAnsi="宋体"/>
          <w:color w:val="auto"/>
          <w:sz w:val="18"/>
          <w:lang w:val="zh-TW" w:eastAsia="zh-TW" w:bidi="zh-TW"/>
        </w:rPr>
        <w:t>；</w:t>
      </w:r>
    </w:p>
    <w:p>
      <w:pPr>
        <w:tabs>
          <w:tab w:val="left" w:pos="1062"/>
        </w:tabs>
        <w:spacing w:line="298"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（五）对散布妨碍社会安定和国家安全言论者，给予留校察看以上处分；</w:t>
      </w:r>
    </w:p>
    <w:p>
      <w:pPr>
        <w:tabs>
          <w:tab w:val="left" w:pos="1062"/>
        </w:tabs>
        <w:spacing w:line="298" w:lineRule="exact"/>
        <w:ind w:firstLine="420"/>
        <w:jc w:val="both"/>
        <w:rPr>
          <w:rFonts w:ascii="宋体" w:hAnsi="宋体"/>
          <w:color w:val="auto"/>
          <w:sz w:val="18"/>
          <w:lang w:val="zh-TW" w:eastAsia="zh-TW" w:bidi="zh-TW"/>
        </w:rPr>
      </w:pPr>
      <w:r>
        <w:rPr>
          <w:rFonts w:ascii="宋体" w:hAnsi="宋体"/>
          <w:color w:val="auto"/>
          <w:sz w:val="18"/>
          <w:lang w:val="zh-TW" w:eastAsia="zh-TW" w:bidi="zh-TW"/>
        </w:rPr>
        <w:t>（六）登陆非法网站、传播有害信息者，视情节轻重，给予记过以上处分；</w:t>
      </w:r>
    </w:p>
    <w:p>
      <w:pPr>
        <w:tabs>
          <w:tab w:val="left" w:pos="1054"/>
        </w:tabs>
        <w:spacing w:line="336"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（七）对有其他违反国家使用计算机网络有关规定的行为者，视情节轻重，给予警告以上处分。</w:t>
      </w:r>
    </w:p>
    <w:p>
      <w:pPr>
        <w:spacing w:line="299"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w:t>
      </w:r>
      <w:r>
        <w:rPr>
          <w:rFonts w:hint="eastAsia" w:ascii="宋体" w:hAnsi="宋体"/>
          <w:b/>
          <w:bCs/>
          <w:color w:val="auto"/>
          <w:sz w:val="18"/>
          <w:lang w:val="zh-TW" w:eastAsia="zh-TW" w:bidi="zh-TW"/>
        </w:rPr>
        <w:t>六</w:t>
      </w:r>
      <w:r>
        <w:rPr>
          <w:rFonts w:ascii="宋体" w:hAnsi="宋体"/>
          <w:b/>
          <w:bCs/>
          <w:color w:val="auto"/>
          <w:sz w:val="18"/>
          <w:lang w:val="zh-TW" w:eastAsia="zh-TW" w:bidi="zh-TW"/>
        </w:rPr>
        <w:t>条</w:t>
      </w:r>
      <w:r>
        <w:rPr>
          <w:rFonts w:ascii="宋体" w:hAnsi="宋体"/>
          <w:color w:val="auto"/>
          <w:sz w:val="18"/>
          <w:lang w:val="zh-TW" w:eastAsia="zh-TW" w:bidi="zh-TW"/>
        </w:rPr>
        <w:t>凡有阅读、收看、复制、传播、出售、出租淫秽书刊、文字、图片、录像、磁带、光盘等行为者，分别给予下列处分：</w:t>
      </w:r>
    </w:p>
    <w:p>
      <w:pPr>
        <w:tabs>
          <w:tab w:val="left" w:pos="1057"/>
        </w:tabs>
        <w:spacing w:line="299"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（一）对阅读、收看者，给予警告或严重警告处分；</w:t>
      </w:r>
    </w:p>
    <w:p>
      <w:pPr>
        <w:tabs>
          <w:tab w:val="left" w:pos="1057"/>
        </w:tabs>
        <w:spacing w:line="299"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（二）对复制、传播者，给予记过或留校察看处分；</w:t>
      </w:r>
    </w:p>
    <w:p>
      <w:pPr>
        <w:tabs>
          <w:tab w:val="left" w:pos="1057"/>
        </w:tabs>
        <w:spacing w:line="299"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（三）对制作、贩卖、出租、出售者，给予留校察看处分。</w:t>
      </w:r>
    </w:p>
    <w:p>
      <w:pPr>
        <w:spacing w:line="299"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w:t>
      </w:r>
      <w:r>
        <w:rPr>
          <w:rFonts w:hint="eastAsia" w:ascii="宋体" w:hAnsi="宋体"/>
          <w:b/>
          <w:bCs/>
          <w:color w:val="auto"/>
          <w:sz w:val="18"/>
          <w:lang w:val="zh-TW" w:eastAsia="zh-TW" w:bidi="zh-TW"/>
        </w:rPr>
        <w:t>七</w:t>
      </w:r>
      <w:r>
        <w:rPr>
          <w:rFonts w:ascii="宋体" w:hAnsi="宋体"/>
          <w:b/>
          <w:bCs/>
          <w:color w:val="auto"/>
          <w:sz w:val="18"/>
          <w:lang w:val="zh-TW" w:eastAsia="zh-TW" w:bidi="zh-TW"/>
        </w:rPr>
        <w:t>条</w:t>
      </w:r>
      <w:r>
        <w:rPr>
          <w:rFonts w:ascii="宋体" w:hAnsi="宋体"/>
          <w:color w:val="auto"/>
          <w:sz w:val="18"/>
          <w:lang w:val="zh-TW" w:eastAsia="zh-TW" w:bidi="zh-TW"/>
        </w:rPr>
        <w:t>打架斗殴者，分别给予以下处分：</w:t>
      </w:r>
    </w:p>
    <w:p>
      <w:pPr>
        <w:spacing w:line="299"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）打架斗殴情节轻微者，给予警告或严重警告处分；情节恶劣，造成后果者，给予记过以上处分。</w:t>
      </w:r>
    </w:p>
    <w:p>
      <w:pPr>
        <w:tabs>
          <w:tab w:val="left" w:pos="1045"/>
        </w:tabs>
        <w:spacing w:line="299"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（二）参与群体斗殴者，给予严重警告处分，造成后果者，给予记过以上处分，组织策划者，给予留校察看处分。</w:t>
      </w:r>
    </w:p>
    <w:p>
      <w:pPr>
        <w:tabs>
          <w:tab w:val="left" w:pos="1057"/>
        </w:tabs>
        <w:spacing w:line="299"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（三）报复打人，唆使他人打架斗殴者，给予记过处分，造成后果者，给予留校察看处分。</w:t>
      </w:r>
    </w:p>
    <w:p>
      <w:pPr>
        <w:tabs>
          <w:tab w:val="left" w:pos="1059"/>
        </w:tabs>
        <w:spacing w:line="299"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（四）为打架提供器械者，给予严重警告处分；持械打架斗殴者，给予记过处分，造成后果者，给予留校察看处分。</w:t>
      </w:r>
    </w:p>
    <w:p>
      <w:pPr>
        <w:spacing w:line="299"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w:t>
      </w:r>
      <w:r>
        <w:rPr>
          <w:rFonts w:hint="eastAsia" w:ascii="宋体" w:hAnsi="宋体"/>
          <w:b/>
          <w:bCs/>
          <w:color w:val="auto"/>
          <w:sz w:val="18"/>
          <w:lang w:val="zh-TW" w:eastAsia="zh-TW" w:bidi="zh-TW"/>
        </w:rPr>
        <w:t>八</w:t>
      </w:r>
      <w:r>
        <w:rPr>
          <w:rFonts w:ascii="宋体" w:hAnsi="宋体"/>
          <w:b/>
          <w:bCs/>
          <w:color w:val="auto"/>
          <w:sz w:val="18"/>
          <w:lang w:val="zh-TW" w:eastAsia="zh-TW" w:bidi="zh-TW"/>
        </w:rPr>
        <w:t>条</w:t>
      </w:r>
      <w:r>
        <w:rPr>
          <w:rFonts w:ascii="宋体" w:hAnsi="宋体"/>
          <w:color w:val="auto"/>
          <w:sz w:val="18"/>
          <w:lang w:val="zh-TW" w:eastAsia="zh-TW" w:bidi="zh-TW"/>
        </w:rPr>
        <w:t>校园内不得进行宗教活动。对违反国家规定进行邪教、封建迷信活动者给予记过以上处分。</w:t>
      </w:r>
    </w:p>
    <w:p>
      <w:pPr>
        <w:spacing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w:t>
      </w:r>
      <w:r>
        <w:rPr>
          <w:rFonts w:hint="eastAsia" w:ascii="宋体" w:hAnsi="宋体"/>
          <w:b/>
          <w:bCs/>
          <w:color w:val="auto"/>
          <w:sz w:val="18"/>
          <w:lang w:val="zh-TW" w:eastAsia="zh-TW" w:bidi="zh-TW"/>
        </w:rPr>
        <w:t>九</w:t>
      </w:r>
      <w:r>
        <w:rPr>
          <w:rFonts w:ascii="宋体" w:hAnsi="宋体"/>
          <w:b/>
          <w:bCs/>
          <w:color w:val="auto"/>
          <w:sz w:val="18"/>
          <w:lang w:val="zh-TW" w:eastAsia="zh-TW" w:bidi="zh-TW"/>
        </w:rPr>
        <w:t>条</w:t>
      </w:r>
      <w:r>
        <w:rPr>
          <w:rFonts w:ascii="宋体" w:hAnsi="宋体"/>
          <w:color w:val="auto"/>
          <w:sz w:val="18"/>
          <w:lang w:val="zh-TW" w:eastAsia="zh-TW" w:bidi="zh-TW"/>
        </w:rPr>
        <w:t>在男女交往过程中，造成对方心理、精神上产生疾病的，经南京市三甲医院主任医师的鉴定，确系恋爱问题引起的，视情节轻重，给予警告以上处分。</w:t>
      </w:r>
    </w:p>
    <w:p>
      <w:pPr>
        <w:spacing w:after="60"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w:t>
      </w:r>
      <w:r>
        <w:rPr>
          <w:rFonts w:hint="eastAsia" w:ascii="宋体" w:hAnsi="宋体"/>
          <w:b/>
          <w:bCs/>
          <w:color w:val="auto"/>
          <w:sz w:val="18"/>
          <w:lang w:val="zh-TW" w:eastAsia="zh-TW" w:bidi="zh-TW"/>
        </w:rPr>
        <w:t>二十</w:t>
      </w:r>
      <w:r>
        <w:rPr>
          <w:rFonts w:ascii="宋体" w:hAnsi="宋体"/>
          <w:b/>
          <w:bCs/>
          <w:color w:val="auto"/>
          <w:sz w:val="18"/>
          <w:lang w:val="zh-TW" w:eastAsia="zh-TW" w:bidi="zh-TW"/>
        </w:rPr>
        <w:t>条</w:t>
      </w:r>
      <w:r>
        <w:rPr>
          <w:rFonts w:ascii="宋体" w:hAnsi="宋体"/>
          <w:color w:val="auto"/>
          <w:sz w:val="18"/>
          <w:lang w:val="zh-TW" w:eastAsia="zh-TW" w:bidi="zh-TW"/>
        </w:rPr>
        <w:t>严禁在宿舍内销售任何物品，违反者没收所有销售物品，造成恶劣影响者，给予警告以上处分。</w:t>
      </w:r>
    </w:p>
    <w:p>
      <w:pPr>
        <w:ind w:left="427"/>
        <w:rPr>
          <w:rFonts w:ascii="宋体" w:hAnsi="宋体" w:eastAsia="PMingLiU"/>
          <w:color w:val="auto"/>
          <w:sz w:val="18"/>
          <w:lang w:val="zh-TW" w:eastAsia="zh-TW" w:bidi="zh-TW"/>
        </w:rPr>
      </w:pPr>
      <w:r>
        <w:rPr>
          <w:rFonts w:ascii="宋体" w:hAnsi="宋体"/>
          <w:b/>
          <w:bCs/>
          <w:color w:val="auto"/>
          <w:sz w:val="18"/>
          <w:lang w:val="zh-TW" w:eastAsia="zh-TW" w:bidi="zh-TW"/>
        </w:rPr>
        <w:t>第二十</w:t>
      </w:r>
      <w:r>
        <w:rPr>
          <w:rFonts w:hint="eastAsia" w:ascii="宋体" w:hAnsi="宋体"/>
          <w:b/>
          <w:bCs/>
          <w:color w:val="auto"/>
          <w:sz w:val="18"/>
          <w:lang w:val="zh-TW" w:eastAsia="zh-TW" w:bidi="zh-TW"/>
        </w:rPr>
        <w:t>一</w:t>
      </w:r>
      <w:r>
        <w:rPr>
          <w:rFonts w:ascii="宋体" w:hAnsi="宋体"/>
          <w:b/>
          <w:bCs/>
          <w:color w:val="auto"/>
          <w:sz w:val="18"/>
          <w:lang w:val="zh-TW" w:eastAsia="zh-TW" w:bidi="zh-TW"/>
        </w:rPr>
        <w:t>条</w:t>
      </w:r>
      <w:r>
        <w:rPr>
          <w:rFonts w:ascii="宋体" w:hAnsi="宋体"/>
          <w:color w:val="auto"/>
          <w:sz w:val="18"/>
          <w:lang w:val="zh-TW" w:eastAsia="zh-TW" w:bidi="zh-TW"/>
        </w:rPr>
        <w:t>凡一学期内无故旷课累计达到下列学时数者，分别给予下列处分</w:t>
      </w:r>
      <w:r>
        <w:rPr>
          <w:rFonts w:hint="eastAsia" w:ascii="宋体" w:hAnsi="宋体"/>
          <w:color w:val="auto"/>
          <w:sz w:val="18"/>
          <w:lang w:val="zh-TW" w:eastAsia="zh-TW" w:bidi="zh-TW"/>
        </w:rPr>
        <w:t>：</w:t>
      </w:r>
    </w:p>
    <w:p>
      <w:pPr>
        <w:tabs>
          <w:tab w:val="left" w:pos="1057"/>
        </w:tabs>
        <w:spacing w:line="299" w:lineRule="exact"/>
        <w:ind w:firstLine="420"/>
        <w:jc w:val="both"/>
        <w:rPr>
          <w:rFonts w:ascii="宋体" w:hAnsi="宋体"/>
          <w:color w:val="auto"/>
          <w:sz w:val="18"/>
          <w:lang w:val="zh-TW" w:eastAsia="zh-TW" w:bidi="zh-TW"/>
        </w:rPr>
      </w:pPr>
      <w:bookmarkStart w:id="368" w:name="_Hlk75353908"/>
      <w:r>
        <w:rPr>
          <w:rFonts w:hint="eastAsia" w:ascii="宋体" w:hAnsi="宋体"/>
          <w:color w:val="auto"/>
          <w:sz w:val="18"/>
          <w:lang w:val="zh-TW" w:eastAsia="zh-TW" w:bidi="zh-TW"/>
        </w:rPr>
        <w:t>（一）达到</w:t>
      </w:r>
      <w:r>
        <w:rPr>
          <w:rFonts w:hint="eastAsia"/>
          <w:color w:val="auto"/>
          <w:szCs w:val="20"/>
          <w:lang w:val="zh-TW" w:eastAsia="zh-TW" w:bidi="zh-TW"/>
        </w:rPr>
        <w:t>1</w:t>
      </w:r>
      <w:r>
        <w:rPr>
          <w:color w:val="auto"/>
          <w:szCs w:val="20"/>
          <w:lang w:val="zh-TW" w:eastAsia="zh-TW" w:bidi="zh-TW"/>
        </w:rPr>
        <w:t>0-19</w:t>
      </w:r>
      <w:r>
        <w:rPr>
          <w:rFonts w:hint="eastAsia" w:ascii="宋体" w:hAnsi="宋体"/>
          <w:color w:val="auto"/>
          <w:sz w:val="18"/>
          <w:lang w:val="zh-TW" w:eastAsia="zh-TW" w:bidi="zh-TW"/>
        </w:rPr>
        <w:t>学时者，给予警告处分；</w:t>
      </w:r>
    </w:p>
    <w:bookmarkEnd w:id="368"/>
    <w:p>
      <w:pPr>
        <w:tabs>
          <w:tab w:val="left" w:pos="1057"/>
        </w:tabs>
        <w:spacing w:line="299" w:lineRule="exact"/>
        <w:ind w:firstLine="420"/>
        <w:jc w:val="both"/>
        <w:rPr>
          <w:rFonts w:ascii="宋体" w:hAnsi="宋体"/>
          <w:color w:val="auto"/>
          <w:sz w:val="18"/>
          <w:lang w:val="zh-TW" w:eastAsia="zh-TW" w:bidi="zh-TW"/>
        </w:rPr>
      </w:pPr>
      <w:r>
        <w:rPr>
          <w:rFonts w:hint="eastAsia" w:ascii="宋体" w:hAnsi="宋体"/>
          <w:color w:val="auto"/>
          <w:sz w:val="18"/>
          <w:lang w:val="zh-TW" w:eastAsia="zh-TW" w:bidi="zh-TW"/>
        </w:rPr>
        <w:t>（二）达到</w:t>
      </w:r>
      <w:r>
        <w:rPr>
          <w:color w:val="auto"/>
          <w:szCs w:val="20"/>
          <w:lang w:val="zh-TW" w:eastAsia="zh-TW" w:bidi="zh-TW"/>
        </w:rPr>
        <w:t>2</w:t>
      </w:r>
      <w:r>
        <w:rPr>
          <w:rFonts w:hint="eastAsia"/>
          <w:color w:val="auto"/>
          <w:szCs w:val="20"/>
          <w:lang w:val="zh-TW" w:eastAsia="zh-TW" w:bidi="zh-TW"/>
        </w:rPr>
        <w:t>0-</w:t>
      </w:r>
      <w:r>
        <w:rPr>
          <w:color w:val="auto"/>
          <w:szCs w:val="20"/>
          <w:lang w:val="zh-TW" w:eastAsia="zh-TW" w:bidi="zh-TW"/>
        </w:rPr>
        <w:t>2</w:t>
      </w:r>
      <w:r>
        <w:rPr>
          <w:rFonts w:hint="eastAsia"/>
          <w:color w:val="auto"/>
          <w:szCs w:val="20"/>
          <w:lang w:val="zh-TW" w:eastAsia="zh-TW" w:bidi="zh-TW"/>
        </w:rPr>
        <w:t>9</w:t>
      </w:r>
      <w:r>
        <w:rPr>
          <w:rFonts w:hint="eastAsia" w:ascii="宋体" w:hAnsi="宋体"/>
          <w:color w:val="auto"/>
          <w:sz w:val="18"/>
          <w:lang w:val="zh-TW" w:eastAsia="zh-TW" w:bidi="zh-TW"/>
        </w:rPr>
        <w:t>学时者，给予严重警告处分；</w:t>
      </w:r>
    </w:p>
    <w:p>
      <w:pPr>
        <w:tabs>
          <w:tab w:val="left" w:pos="1057"/>
        </w:tabs>
        <w:spacing w:line="299" w:lineRule="exact"/>
        <w:ind w:firstLine="420"/>
        <w:jc w:val="both"/>
        <w:rPr>
          <w:rFonts w:ascii="宋体" w:hAnsi="宋体"/>
          <w:color w:val="auto"/>
          <w:sz w:val="18"/>
          <w:lang w:val="zh-TW" w:eastAsia="zh-TW" w:bidi="zh-TW"/>
        </w:rPr>
      </w:pPr>
      <w:r>
        <w:rPr>
          <w:rFonts w:hint="eastAsia" w:ascii="宋体" w:hAnsi="宋体"/>
          <w:color w:val="auto"/>
          <w:sz w:val="18"/>
          <w:lang w:val="zh-TW" w:eastAsia="zh-TW" w:bidi="zh-TW"/>
        </w:rPr>
        <w:t>（三）达到</w:t>
      </w:r>
      <w:r>
        <w:rPr>
          <w:color w:val="auto"/>
          <w:szCs w:val="20"/>
          <w:lang w:val="zh-TW" w:eastAsia="zh-TW" w:bidi="zh-TW"/>
        </w:rPr>
        <w:t>3</w:t>
      </w:r>
      <w:r>
        <w:rPr>
          <w:rFonts w:hint="eastAsia"/>
          <w:color w:val="auto"/>
          <w:szCs w:val="20"/>
          <w:lang w:val="zh-TW" w:eastAsia="zh-TW" w:bidi="zh-TW"/>
        </w:rPr>
        <w:t>0-</w:t>
      </w:r>
      <w:r>
        <w:rPr>
          <w:color w:val="auto"/>
          <w:szCs w:val="20"/>
          <w:lang w:val="zh-TW" w:eastAsia="zh-TW" w:bidi="zh-TW"/>
        </w:rPr>
        <w:t>3</w:t>
      </w:r>
      <w:r>
        <w:rPr>
          <w:rFonts w:hint="eastAsia"/>
          <w:color w:val="auto"/>
          <w:szCs w:val="20"/>
          <w:lang w:val="zh-TW" w:eastAsia="zh-TW" w:bidi="zh-TW"/>
        </w:rPr>
        <w:t>9</w:t>
      </w:r>
      <w:r>
        <w:rPr>
          <w:rFonts w:hint="eastAsia" w:ascii="宋体" w:hAnsi="宋体"/>
          <w:color w:val="auto"/>
          <w:sz w:val="18"/>
          <w:lang w:val="zh-TW" w:eastAsia="zh-TW" w:bidi="zh-TW"/>
        </w:rPr>
        <w:t>学时者，给予记过处分；</w:t>
      </w:r>
    </w:p>
    <w:p>
      <w:pPr>
        <w:tabs>
          <w:tab w:val="left" w:pos="1057"/>
        </w:tabs>
        <w:spacing w:line="299" w:lineRule="exact"/>
        <w:ind w:firstLine="420"/>
        <w:jc w:val="both"/>
        <w:rPr>
          <w:rFonts w:ascii="宋体" w:hAnsi="宋体"/>
          <w:color w:val="auto"/>
          <w:sz w:val="18"/>
          <w:lang w:val="zh-TW" w:eastAsia="zh-TW" w:bidi="zh-TW"/>
        </w:rPr>
      </w:pPr>
      <w:r>
        <w:rPr>
          <w:rFonts w:hint="eastAsia" w:ascii="宋体" w:hAnsi="宋体"/>
          <w:color w:val="auto"/>
          <w:sz w:val="18"/>
          <w:lang w:val="zh-TW" w:eastAsia="zh-TW" w:bidi="zh-TW"/>
        </w:rPr>
        <w:t>（四）达到</w:t>
      </w:r>
      <w:r>
        <w:rPr>
          <w:color w:val="auto"/>
          <w:szCs w:val="20"/>
          <w:lang w:val="zh-TW" w:eastAsia="zh-TW" w:bidi="zh-TW"/>
        </w:rPr>
        <w:t>4</w:t>
      </w:r>
      <w:r>
        <w:rPr>
          <w:rFonts w:hint="eastAsia"/>
          <w:color w:val="auto"/>
          <w:szCs w:val="20"/>
          <w:lang w:val="zh-TW" w:eastAsia="zh-TW" w:bidi="zh-TW"/>
        </w:rPr>
        <w:t>0-</w:t>
      </w:r>
      <w:r>
        <w:rPr>
          <w:color w:val="auto"/>
          <w:szCs w:val="20"/>
          <w:lang w:val="zh-TW" w:eastAsia="zh-TW" w:bidi="zh-TW"/>
        </w:rPr>
        <w:t>4</w:t>
      </w:r>
      <w:r>
        <w:rPr>
          <w:rFonts w:hint="eastAsia"/>
          <w:color w:val="auto"/>
          <w:szCs w:val="20"/>
          <w:lang w:val="zh-TW" w:eastAsia="zh-TW" w:bidi="zh-TW"/>
        </w:rPr>
        <w:t>9</w:t>
      </w:r>
      <w:r>
        <w:rPr>
          <w:rFonts w:hint="eastAsia" w:ascii="宋体" w:hAnsi="宋体"/>
          <w:color w:val="auto"/>
          <w:sz w:val="18"/>
          <w:lang w:val="zh-TW" w:eastAsia="zh-TW" w:bidi="zh-TW"/>
        </w:rPr>
        <w:t>学时者，给予留校察看处分；</w:t>
      </w:r>
    </w:p>
    <w:p>
      <w:pPr>
        <w:spacing w:line="278" w:lineRule="exact"/>
        <w:ind w:firstLine="360" w:firstLineChars="200"/>
        <w:rPr>
          <w:rFonts w:ascii="宋体" w:hAnsi="宋体"/>
          <w:color w:val="auto"/>
          <w:sz w:val="18"/>
          <w:lang w:val="zh-TW" w:eastAsia="zh-TW" w:bidi="zh-TW"/>
        </w:rPr>
      </w:pPr>
      <w:r>
        <w:rPr>
          <w:rFonts w:ascii="宋体" w:hAnsi="宋体"/>
          <w:color w:val="auto"/>
          <w:sz w:val="18"/>
          <w:lang w:val="zh-TW" w:eastAsia="zh-TW" w:bidi="zh-TW"/>
        </w:rPr>
        <w:t>课堂教学按实际授课时间计；实习、课程设计、毕业设计期间以及无故未按时报到者，每日按</w:t>
      </w:r>
      <w:r>
        <w:rPr>
          <w:color w:val="auto"/>
          <w:szCs w:val="20"/>
          <w:lang w:val="zh-TW" w:eastAsia="zh-TW" w:bidi="zh-TW"/>
        </w:rPr>
        <w:t>4</w:t>
      </w:r>
      <w:r>
        <w:rPr>
          <w:rFonts w:ascii="宋体" w:hAnsi="宋体"/>
          <w:color w:val="auto"/>
          <w:sz w:val="18"/>
          <w:lang w:val="zh-TW" w:eastAsia="zh-TW" w:bidi="zh-TW"/>
        </w:rPr>
        <w:t>学时计。</w:t>
      </w:r>
    </w:p>
    <w:p>
      <w:pPr>
        <w:spacing w:line="317"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第二十</w:t>
      </w:r>
      <w:r>
        <w:rPr>
          <w:rFonts w:hint="eastAsia" w:ascii="宋体" w:hAnsi="宋体"/>
          <w:b/>
          <w:bCs/>
          <w:color w:val="auto"/>
          <w:sz w:val="18"/>
          <w:lang w:val="zh-TW" w:eastAsia="zh-TW" w:bidi="zh-TW"/>
        </w:rPr>
        <w:t>二</w:t>
      </w:r>
      <w:r>
        <w:rPr>
          <w:rFonts w:ascii="宋体" w:hAnsi="宋体"/>
          <w:b/>
          <w:bCs/>
          <w:color w:val="auto"/>
          <w:sz w:val="18"/>
          <w:lang w:val="zh-TW" w:eastAsia="zh-TW" w:bidi="zh-TW"/>
        </w:rPr>
        <w:t>条</w:t>
      </w:r>
      <w:r>
        <w:rPr>
          <w:rFonts w:ascii="宋体" w:hAnsi="宋体"/>
          <w:color w:val="auto"/>
          <w:sz w:val="18"/>
          <w:lang w:val="zh-TW" w:eastAsia="zh-TW" w:bidi="zh-TW"/>
        </w:rPr>
        <w:t>考试违纪者，视其情节轻重，给予警告、严重警告或记过处分；考试作弊者，给予留校察看处分。</w:t>
      </w:r>
    </w:p>
    <w:p>
      <w:pPr>
        <w:spacing w:line="317"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第二十</w:t>
      </w:r>
      <w:r>
        <w:rPr>
          <w:rFonts w:hint="eastAsia" w:ascii="宋体" w:hAnsi="宋体"/>
          <w:b/>
          <w:bCs/>
          <w:color w:val="auto"/>
          <w:sz w:val="18"/>
          <w:lang w:val="zh-TW" w:eastAsia="zh-TW" w:bidi="zh-TW"/>
        </w:rPr>
        <w:t>三</w:t>
      </w:r>
      <w:r>
        <w:rPr>
          <w:rFonts w:ascii="宋体" w:hAnsi="宋体"/>
          <w:b/>
          <w:bCs/>
          <w:color w:val="auto"/>
          <w:sz w:val="18"/>
          <w:lang w:val="zh-TW" w:eastAsia="zh-TW" w:bidi="zh-TW"/>
        </w:rPr>
        <w:t>条</w:t>
      </w:r>
      <w:r>
        <w:rPr>
          <w:rFonts w:ascii="宋体" w:hAnsi="宋体"/>
          <w:color w:val="auto"/>
          <w:sz w:val="18"/>
          <w:lang w:val="zh-TW" w:eastAsia="zh-TW" w:bidi="zh-TW"/>
        </w:rPr>
        <w:t>剽窃、抄袭他人研究成果者，视情节给予严重警告、记过或留校察看处分，情节严重的，给予开除学籍处分。在毕业（设计）论文工作、学位论文工作或发表学术论文、学位论文、毕业设计（论文）中，伪造数据，弄虚作假者，视情节给予严重警告或记过处分，情节严重的，给予留校察看以上处分。</w:t>
      </w:r>
    </w:p>
    <w:p>
      <w:pPr>
        <w:spacing w:line="307"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第二十</w:t>
      </w:r>
      <w:r>
        <w:rPr>
          <w:rFonts w:hint="eastAsia" w:ascii="宋体" w:hAnsi="宋体"/>
          <w:b/>
          <w:bCs/>
          <w:color w:val="auto"/>
          <w:sz w:val="18"/>
          <w:lang w:val="zh-TW" w:eastAsia="zh-TW" w:bidi="zh-TW"/>
        </w:rPr>
        <w:t>四</w:t>
      </w:r>
      <w:r>
        <w:rPr>
          <w:rFonts w:ascii="宋体" w:hAnsi="宋体"/>
          <w:b/>
          <w:bCs/>
          <w:color w:val="auto"/>
          <w:sz w:val="18"/>
          <w:lang w:val="zh-TW" w:eastAsia="zh-TW" w:bidi="zh-TW"/>
        </w:rPr>
        <w:t>条</w:t>
      </w:r>
      <w:r>
        <w:rPr>
          <w:rFonts w:ascii="宋体" w:hAnsi="宋体"/>
          <w:color w:val="auto"/>
          <w:sz w:val="18"/>
          <w:lang w:val="zh-TW" w:eastAsia="zh-TW" w:bidi="zh-TW"/>
        </w:rPr>
        <w:t>有下列欺骗行为之一者，视情节给予以下处分：</w:t>
      </w:r>
    </w:p>
    <w:p>
      <w:pPr>
        <w:spacing w:line="307"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（一）谎报证件、证章丢失或冒名补办证件证章者，给予严重警告以上处分；</w:t>
      </w:r>
    </w:p>
    <w:p>
      <w:pPr>
        <w:spacing w:line="307" w:lineRule="exact"/>
        <w:ind w:firstLine="420"/>
        <w:jc w:val="both"/>
        <w:rPr>
          <w:rFonts w:ascii="宋体" w:hAnsi="宋体"/>
          <w:color w:val="auto"/>
          <w:sz w:val="18"/>
          <w:lang w:val="zh-TW" w:eastAsia="zh-TW" w:bidi="zh-TW"/>
        </w:rPr>
      </w:pPr>
      <w:r>
        <w:rPr>
          <w:rFonts w:ascii="宋体" w:hAnsi="宋体"/>
          <w:color w:val="auto"/>
          <w:sz w:val="18"/>
          <w:lang w:eastAsia="zh-CN"/>
        </w:rPr>
        <w:t>（</w:t>
      </w:r>
      <w:r>
        <w:rPr>
          <w:rFonts w:hint="eastAsia" w:ascii="宋体" w:hAnsi="宋体"/>
          <w:color w:val="auto"/>
          <w:sz w:val="18"/>
          <w:lang w:eastAsia="zh-CN"/>
        </w:rPr>
        <w:t>二</w:t>
      </w:r>
      <w:r>
        <w:rPr>
          <w:rFonts w:ascii="宋体" w:hAnsi="宋体"/>
          <w:color w:val="auto"/>
          <w:sz w:val="18"/>
          <w:lang w:eastAsia="zh-CN"/>
        </w:rPr>
        <w:t>）</w:t>
      </w:r>
      <w:r>
        <w:rPr>
          <w:rFonts w:ascii="宋体" w:hAnsi="宋体"/>
          <w:color w:val="auto"/>
          <w:sz w:val="18"/>
          <w:lang w:val="zh-TW" w:eastAsia="zh-TW" w:bidi="zh-TW"/>
        </w:rPr>
        <w:t>涂改、伪造、变造证件、证章、成绩单者，给予记过以上处分；</w:t>
      </w:r>
    </w:p>
    <w:p>
      <w:pPr>
        <w:spacing w:line="307"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（三）私刻公章者，给予留校察看以上处分。</w:t>
      </w:r>
    </w:p>
    <w:p>
      <w:pPr>
        <w:spacing w:line="307"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第二十</w:t>
      </w:r>
      <w:r>
        <w:rPr>
          <w:rFonts w:hint="eastAsia" w:ascii="宋体" w:hAnsi="宋体"/>
          <w:b/>
          <w:bCs/>
          <w:color w:val="auto"/>
          <w:sz w:val="18"/>
          <w:lang w:val="zh-TW" w:eastAsia="zh-TW" w:bidi="zh-TW"/>
        </w:rPr>
        <w:t>五</w:t>
      </w:r>
      <w:r>
        <w:rPr>
          <w:rFonts w:ascii="宋体" w:hAnsi="宋体"/>
          <w:b/>
          <w:bCs/>
          <w:color w:val="auto"/>
          <w:sz w:val="18"/>
          <w:lang w:val="zh-TW" w:eastAsia="zh-TW" w:bidi="zh-TW"/>
        </w:rPr>
        <w:t>条</w:t>
      </w:r>
      <w:r>
        <w:rPr>
          <w:rFonts w:ascii="宋体" w:hAnsi="宋体"/>
          <w:color w:val="auto"/>
          <w:sz w:val="18"/>
          <w:lang w:val="zh-TW" w:eastAsia="zh-TW" w:bidi="zh-TW"/>
        </w:rPr>
        <w:t>对侮辱、诽谤、诬告、陷害、恐吓等侵犯他人人格者，视情节轻重，给予严重警告以上处分。</w:t>
      </w:r>
    </w:p>
    <w:p>
      <w:pPr>
        <w:spacing w:line="307"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第二十</w:t>
      </w:r>
      <w:r>
        <w:rPr>
          <w:rFonts w:hint="eastAsia" w:ascii="宋体" w:hAnsi="宋体"/>
          <w:b/>
          <w:bCs/>
          <w:color w:val="auto"/>
          <w:sz w:val="18"/>
          <w:lang w:val="zh-TW" w:eastAsia="zh-TW" w:bidi="zh-TW"/>
        </w:rPr>
        <w:t>六</w:t>
      </w:r>
      <w:r>
        <w:rPr>
          <w:rFonts w:ascii="宋体" w:hAnsi="宋体"/>
          <w:b/>
          <w:bCs/>
          <w:color w:val="auto"/>
          <w:sz w:val="18"/>
          <w:lang w:val="zh-TW" w:eastAsia="zh-TW" w:bidi="zh-TW"/>
        </w:rPr>
        <w:t>条</w:t>
      </w:r>
      <w:r>
        <w:rPr>
          <w:rFonts w:ascii="宋体" w:hAnsi="宋体"/>
          <w:color w:val="auto"/>
          <w:sz w:val="18"/>
          <w:lang w:val="zh-TW" w:eastAsia="zh-TW" w:bidi="zh-TW"/>
        </w:rPr>
        <w:t>违反保密规定，窃取或泄露国家秘密未受公安、司法机关处罚者，视情节轻重，给予记过以上处分；造成严重后果或恶劣影响者，给予开除学籍处分。</w:t>
      </w:r>
    </w:p>
    <w:p>
      <w:pPr>
        <w:spacing w:line="307"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第二十</w:t>
      </w:r>
      <w:r>
        <w:rPr>
          <w:rFonts w:hint="eastAsia" w:ascii="宋体" w:hAnsi="宋体"/>
          <w:b/>
          <w:bCs/>
          <w:color w:val="auto"/>
          <w:sz w:val="18"/>
          <w:lang w:val="zh-TW" w:eastAsia="zh-TW" w:bidi="zh-TW"/>
        </w:rPr>
        <w:t>七</w:t>
      </w:r>
      <w:r>
        <w:rPr>
          <w:rFonts w:ascii="宋体" w:hAnsi="宋体"/>
          <w:b/>
          <w:bCs/>
          <w:color w:val="auto"/>
          <w:sz w:val="18"/>
          <w:lang w:val="zh-TW" w:eastAsia="zh-TW" w:bidi="zh-TW"/>
        </w:rPr>
        <w:t>条</w:t>
      </w:r>
      <w:r>
        <w:rPr>
          <w:rFonts w:ascii="宋体" w:hAnsi="宋体"/>
          <w:color w:val="auto"/>
          <w:sz w:val="18"/>
          <w:lang w:val="zh-TW" w:eastAsia="zh-TW" w:bidi="zh-TW"/>
        </w:rPr>
        <w:t>妨碍调查处理者，给予严重警告以上处分；提供伪证者，给予记过以上</w:t>
      </w:r>
      <w:r>
        <w:rPr>
          <w:rFonts w:ascii="宋体" w:hAnsi="宋体"/>
          <w:color w:val="auto"/>
          <w:sz w:val="18"/>
          <w:lang w:val="zh-CN" w:eastAsia="zh-CN" w:bidi="zh-CN"/>
        </w:rPr>
        <w:t>处分。</w:t>
      </w:r>
    </w:p>
    <w:p>
      <w:pPr>
        <w:spacing w:line="25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第二十</w:t>
      </w:r>
      <w:r>
        <w:rPr>
          <w:rFonts w:hint="eastAsia" w:ascii="宋体" w:hAnsi="宋体"/>
          <w:b/>
          <w:bCs/>
          <w:color w:val="auto"/>
          <w:sz w:val="18"/>
          <w:lang w:val="zh-TW" w:eastAsia="zh-TW" w:bidi="zh-TW"/>
        </w:rPr>
        <w:t>八</w:t>
      </w:r>
      <w:r>
        <w:rPr>
          <w:rFonts w:ascii="宋体" w:hAnsi="宋体"/>
          <w:b/>
          <w:bCs/>
          <w:color w:val="auto"/>
          <w:sz w:val="18"/>
          <w:lang w:val="zh-TW" w:eastAsia="zh-TW" w:bidi="zh-TW"/>
        </w:rPr>
        <w:t>条</w:t>
      </w:r>
      <w:r>
        <w:rPr>
          <w:rFonts w:ascii="宋体" w:hAnsi="宋体"/>
          <w:color w:val="auto"/>
          <w:sz w:val="18"/>
          <w:lang w:val="zh-TW" w:eastAsia="zh-TW" w:bidi="zh-TW"/>
        </w:rPr>
        <w:t>受到留校察看处分的学生，在校期间，再次因违纪行为受到处分者，直接给予开除学籍处分。</w:t>
      </w:r>
    </w:p>
    <w:p>
      <w:pPr>
        <w:spacing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第二十</w:t>
      </w:r>
      <w:r>
        <w:rPr>
          <w:rFonts w:hint="eastAsia" w:ascii="宋体" w:hAnsi="宋体"/>
          <w:b/>
          <w:bCs/>
          <w:color w:val="auto"/>
          <w:sz w:val="18"/>
          <w:lang w:val="zh-TW" w:eastAsia="zh-TW" w:bidi="zh-TW"/>
        </w:rPr>
        <w:t>九</w:t>
      </w:r>
      <w:r>
        <w:rPr>
          <w:rFonts w:ascii="宋体" w:hAnsi="宋体"/>
          <w:b/>
          <w:bCs/>
          <w:color w:val="auto"/>
          <w:sz w:val="18"/>
          <w:lang w:val="zh-TW" w:eastAsia="zh-TW" w:bidi="zh-TW"/>
        </w:rPr>
        <w:t>条</w:t>
      </w:r>
      <w:r>
        <w:rPr>
          <w:rFonts w:ascii="宋体" w:hAnsi="宋体"/>
          <w:color w:val="auto"/>
          <w:sz w:val="18"/>
          <w:lang w:val="zh-TW" w:eastAsia="zh-TW" w:bidi="zh-TW"/>
        </w:rPr>
        <w:t>凡受处分者同时给予下列处罚：</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受处分期间取消奖学金评定资格；受处分期间取消评优评先资格；受处分期间不得申报各类助学金；受处分期间取消缓交学费资格；</w:t>
      </w:r>
    </w:p>
    <w:p>
      <w:pPr>
        <w:spacing w:after="380" w:line="302"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w:t>
      </w:r>
      <w:r>
        <w:rPr>
          <w:rFonts w:hint="eastAsia" w:ascii="宋体" w:hAnsi="宋体"/>
          <w:b/>
          <w:bCs/>
          <w:color w:val="auto"/>
          <w:sz w:val="18"/>
          <w:lang w:val="zh-TW" w:eastAsia="zh-TW" w:bidi="zh-TW"/>
        </w:rPr>
        <w:t>三十</w:t>
      </w:r>
      <w:r>
        <w:rPr>
          <w:rFonts w:ascii="宋体" w:hAnsi="宋体"/>
          <w:b/>
          <w:bCs/>
          <w:color w:val="auto"/>
          <w:sz w:val="18"/>
          <w:lang w:val="zh-TW" w:eastAsia="zh-TW" w:bidi="zh-TW"/>
        </w:rPr>
        <w:t>条</w:t>
      </w:r>
      <w:r>
        <w:rPr>
          <w:rFonts w:ascii="宋体" w:hAnsi="宋体"/>
          <w:color w:val="auto"/>
          <w:sz w:val="18"/>
          <w:lang w:val="zh-TW" w:eastAsia="zh-TW" w:bidi="zh-TW"/>
        </w:rPr>
        <w:t>本办法没有列举的其他违纪行为，比照相近条款给予处理。</w:t>
      </w:r>
    </w:p>
    <w:p>
      <w:pPr>
        <w:keepNext/>
        <w:keepLines/>
        <w:spacing w:after="300"/>
        <w:jc w:val="center"/>
        <w:outlineLvl w:val="1"/>
        <w:rPr>
          <w:rFonts w:ascii="宋体" w:hAnsi="宋体"/>
          <w:b/>
          <w:bCs/>
          <w:color w:val="auto"/>
          <w:sz w:val="28"/>
          <w:szCs w:val="28"/>
          <w:lang w:val="zh-TW" w:eastAsia="zh-TW" w:bidi="zh-TW"/>
        </w:rPr>
      </w:pPr>
      <w:bookmarkStart w:id="369" w:name="bookmark686"/>
      <w:bookmarkStart w:id="370" w:name="bookmark685"/>
      <w:bookmarkStart w:id="371" w:name="bookmark684"/>
      <w:r>
        <w:rPr>
          <w:rFonts w:ascii="宋体" w:hAnsi="宋体"/>
          <w:b/>
          <w:bCs/>
          <w:color w:val="auto"/>
          <w:sz w:val="28"/>
          <w:szCs w:val="28"/>
          <w:lang w:val="zh-TW" w:eastAsia="zh-TW" w:bidi="zh-TW"/>
        </w:rPr>
        <w:t>第四章违纪处分机构及处分程序</w:t>
      </w:r>
      <w:bookmarkEnd w:id="369"/>
      <w:bookmarkEnd w:id="370"/>
      <w:bookmarkEnd w:id="371"/>
    </w:p>
    <w:p>
      <w:pPr>
        <w:spacing w:line="301"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第三十</w:t>
      </w:r>
      <w:r>
        <w:rPr>
          <w:rFonts w:hint="eastAsia" w:ascii="宋体" w:hAnsi="宋体"/>
          <w:b/>
          <w:bCs/>
          <w:color w:val="auto"/>
          <w:sz w:val="18"/>
          <w:lang w:val="zh-TW" w:eastAsia="zh-TW" w:bidi="zh-TW"/>
        </w:rPr>
        <w:t>一</w:t>
      </w:r>
      <w:r>
        <w:rPr>
          <w:rFonts w:ascii="宋体" w:hAnsi="宋体"/>
          <w:b/>
          <w:bCs/>
          <w:color w:val="auto"/>
          <w:sz w:val="18"/>
          <w:lang w:val="zh-TW" w:eastAsia="zh-TW" w:bidi="zh-TW"/>
        </w:rPr>
        <w:t>条</w:t>
      </w:r>
      <w:r>
        <w:rPr>
          <w:rFonts w:ascii="宋体" w:hAnsi="宋体"/>
          <w:color w:val="auto"/>
          <w:sz w:val="18"/>
          <w:lang w:val="zh-TW" w:eastAsia="zh-TW" w:bidi="zh-TW"/>
        </w:rPr>
        <w:t>学校设立学生违纪处理小组。</w:t>
      </w:r>
    </w:p>
    <w:p>
      <w:pPr>
        <w:spacing w:line="301" w:lineRule="exact"/>
        <w:ind w:firstLine="420"/>
        <w:jc w:val="both"/>
        <w:rPr>
          <w:rFonts w:ascii="宋体" w:hAnsi="宋体"/>
          <w:color w:val="auto"/>
          <w:sz w:val="18"/>
          <w:lang w:val="zh-TW" w:eastAsia="zh-TW" w:bidi="zh-TW"/>
        </w:rPr>
      </w:pPr>
      <w:r>
        <w:rPr>
          <w:rFonts w:ascii="宋体" w:hAnsi="宋体"/>
          <w:color w:val="auto"/>
          <w:sz w:val="18"/>
          <w:lang w:val="zh-TW" w:eastAsia="zh-TW" w:bidi="zh-TW"/>
        </w:rPr>
        <w:t>学生违纪处理小组负责研究决定给予违纪学生处分，由学生辅导员、学生工作处、教学科研处、相关学院、有关职能部门领导组成，由学校领导担任组长。</w:t>
      </w:r>
    </w:p>
    <w:p>
      <w:pPr>
        <w:spacing w:line="301"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第三</w:t>
      </w:r>
      <w:r>
        <w:rPr>
          <w:rFonts w:hint="eastAsia" w:ascii="宋体" w:hAnsi="宋体"/>
          <w:b/>
          <w:bCs/>
          <w:color w:val="auto"/>
          <w:sz w:val="18"/>
          <w:lang w:val="zh-TW" w:eastAsia="zh-TW" w:bidi="zh-TW"/>
        </w:rPr>
        <w:t>十二</w:t>
      </w:r>
      <w:r>
        <w:rPr>
          <w:rFonts w:ascii="宋体" w:hAnsi="宋体"/>
          <w:b/>
          <w:bCs/>
          <w:color w:val="auto"/>
          <w:sz w:val="18"/>
          <w:lang w:val="zh-TW" w:eastAsia="zh-TW" w:bidi="zh-TW"/>
        </w:rPr>
        <w:t>条</w:t>
      </w:r>
      <w:r>
        <w:rPr>
          <w:rFonts w:ascii="宋体" w:hAnsi="宋体"/>
          <w:color w:val="auto"/>
          <w:sz w:val="18"/>
          <w:lang w:val="zh-TW" w:eastAsia="zh-TW" w:bidi="zh-TW"/>
        </w:rPr>
        <w:t>处分程序</w:t>
      </w:r>
      <w:r>
        <w:rPr>
          <w:rFonts w:hint="eastAsia" w:ascii="宋体" w:hAnsi="宋体"/>
          <w:color w:val="auto"/>
          <w:sz w:val="18"/>
          <w:lang w:val="zh-TW" w:eastAsia="zh-TW" w:bidi="zh-TW"/>
        </w:rPr>
        <w:t>：</w:t>
      </w:r>
    </w:p>
    <w:p>
      <w:pPr>
        <w:tabs>
          <w:tab w:val="left" w:pos="1040"/>
        </w:tabs>
        <w:spacing w:line="301"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（一）学生违纪后，由学生辅导员或有关职能部门对学生违纪情况进行调查取证，并作出书面报告及处理建议；</w:t>
      </w:r>
    </w:p>
    <w:p>
      <w:pPr>
        <w:tabs>
          <w:tab w:val="left" w:pos="1050"/>
        </w:tabs>
        <w:spacing w:line="301"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（二）学生辅导员或有关职能部门对违纪学生进行批评教育，违纪学生对违纪行为作出书面认识；</w:t>
      </w:r>
    </w:p>
    <w:p>
      <w:pPr>
        <w:tabs>
          <w:tab w:val="left" w:pos="1059"/>
        </w:tabs>
        <w:spacing w:line="301"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（三）学生辅导员或职能部门将处理建议告知学生或其代理人，并在听取学生或其代理人的陈述和申辩后，报学生违纪处理小组；</w:t>
      </w:r>
    </w:p>
    <w:p>
      <w:pPr>
        <w:tabs>
          <w:tab w:val="left" w:pos="1059"/>
        </w:tabs>
        <w:spacing w:line="301"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（四）学生违纪处理小组根据学生违纪事实及违纪后认识态度研究决定是否给予学生纪律处分；</w:t>
      </w:r>
    </w:p>
    <w:p>
      <w:pPr>
        <w:tabs>
          <w:tab w:val="left" w:pos="1059"/>
        </w:tabs>
        <w:spacing w:line="301"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五）记过及以下违纪处分决定经主管部门审核会签，分管校领导签发行文；留校察看处分经学校学生违纪处理小组认定，分管校领导签发行文；开除学籍违纪处分决定经学校学生违纪处理小组认定，提交学校校长办公会讨论决定后签发行文；开除学籍处分报江苏省教育厅备案。</w:t>
      </w:r>
    </w:p>
    <w:p>
      <w:pPr>
        <w:tabs>
          <w:tab w:val="left" w:pos="1054"/>
        </w:tabs>
        <w:spacing w:line="301" w:lineRule="exact"/>
        <w:ind w:firstLine="420"/>
        <w:jc w:val="both"/>
        <w:rPr>
          <w:rFonts w:ascii="宋体" w:hAnsi="宋体"/>
          <w:color w:val="auto"/>
          <w:sz w:val="18"/>
          <w:lang w:val="zh-TW" w:eastAsia="zh-TW" w:bidi="zh-TW"/>
        </w:rPr>
      </w:pPr>
      <w:r>
        <w:rPr>
          <w:rFonts w:ascii="宋体" w:hAnsi="宋体"/>
          <w:color w:val="auto"/>
          <w:sz w:val="18"/>
          <w:lang w:val="zh-TW" w:eastAsia="zh-TW" w:bidi="zh-TW"/>
        </w:rPr>
        <w:t>（六）处分决定书自签发之日起生效，自生效之日起，由学生辅导员在</w:t>
      </w:r>
      <w:r>
        <w:rPr>
          <w:color w:val="auto"/>
          <w:szCs w:val="20"/>
          <w:lang w:val="zh-TW" w:eastAsia="zh-TW" w:bidi="zh-TW"/>
        </w:rPr>
        <w:t>7</w:t>
      </w:r>
      <w:r>
        <w:rPr>
          <w:rFonts w:ascii="宋体" w:hAnsi="宋体"/>
          <w:color w:val="auto"/>
          <w:sz w:val="18"/>
          <w:lang w:val="zh-TW" w:eastAsia="zh-TW" w:bidi="zh-TW"/>
        </w:rPr>
        <w:t>个工作日内送达本人；</w:t>
      </w:r>
    </w:p>
    <w:p>
      <w:pPr>
        <w:tabs>
          <w:tab w:val="left" w:pos="1059"/>
        </w:tabs>
        <w:spacing w:line="301"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（七）处分决定做出后，违纪学生对处分决定有异议的，可按照《南京航空航天大学金城学院学生申诉管理办法》提出申诉。</w:t>
      </w:r>
    </w:p>
    <w:p>
      <w:pPr>
        <w:spacing w:line="301"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第三十</w:t>
      </w:r>
      <w:r>
        <w:rPr>
          <w:rFonts w:hint="eastAsia" w:ascii="宋体" w:hAnsi="宋体"/>
          <w:b/>
          <w:bCs/>
          <w:color w:val="auto"/>
          <w:sz w:val="18"/>
          <w:lang w:val="zh-TW" w:eastAsia="zh-TW" w:bidi="zh-TW"/>
        </w:rPr>
        <w:t>三</w:t>
      </w:r>
      <w:r>
        <w:rPr>
          <w:rFonts w:ascii="宋体" w:hAnsi="宋体"/>
          <w:b/>
          <w:bCs/>
          <w:color w:val="auto"/>
          <w:sz w:val="18"/>
          <w:lang w:val="zh-TW" w:eastAsia="zh-TW" w:bidi="zh-TW"/>
        </w:rPr>
        <w:t>条</w:t>
      </w:r>
      <w:r>
        <w:rPr>
          <w:rFonts w:ascii="宋体" w:hAnsi="宋体"/>
          <w:color w:val="auto"/>
          <w:sz w:val="18"/>
          <w:lang w:val="zh-TW" w:eastAsia="zh-TW" w:bidi="zh-TW"/>
        </w:rPr>
        <w:t>处分决定书直接送达时，学生应填写送达回证，学生在送达回证上的签收日期为送达日期</w:t>
      </w:r>
      <w:r>
        <w:rPr>
          <w:rFonts w:hint="eastAsia" w:ascii="宋体" w:hAnsi="宋体"/>
          <w:color w:val="auto"/>
          <w:sz w:val="18"/>
          <w:lang w:val="zh-TW" w:eastAsia="zh-TW" w:bidi="zh-TW"/>
        </w:rPr>
        <w:t>；</w:t>
      </w:r>
      <w:r>
        <w:rPr>
          <w:rFonts w:ascii="宋体" w:hAnsi="宋体"/>
          <w:color w:val="auto"/>
          <w:sz w:val="18"/>
          <w:lang w:val="zh-TW" w:eastAsia="zh-TW" w:bidi="zh-TW"/>
        </w:rPr>
        <w:t>无法直接送达的，应以在学校专门橱窗中发布公告的形式送达处分决定书，自公布之日起经</w:t>
      </w:r>
      <w:r>
        <w:rPr>
          <w:color w:val="auto"/>
          <w:szCs w:val="20"/>
          <w:lang w:val="zh-TW" w:eastAsia="zh-TW" w:bidi="zh-TW"/>
        </w:rPr>
        <w:t>60</w:t>
      </w:r>
      <w:r>
        <w:rPr>
          <w:rFonts w:ascii="宋体" w:hAnsi="宋体"/>
          <w:color w:val="auto"/>
          <w:sz w:val="18"/>
          <w:lang w:val="zh-TW" w:eastAsia="zh-TW" w:bidi="zh-TW"/>
        </w:rPr>
        <w:t>日，视为送达。</w:t>
      </w:r>
    </w:p>
    <w:p>
      <w:pPr>
        <w:keepNext/>
        <w:keepLines/>
        <w:spacing w:after="300"/>
        <w:jc w:val="center"/>
        <w:outlineLvl w:val="1"/>
        <w:rPr>
          <w:rFonts w:ascii="宋体" w:hAnsi="宋体"/>
          <w:b/>
          <w:bCs/>
          <w:color w:val="auto"/>
          <w:sz w:val="28"/>
          <w:szCs w:val="28"/>
          <w:lang w:val="zh-TW" w:eastAsia="zh-TW" w:bidi="zh-TW"/>
        </w:rPr>
      </w:pPr>
      <w:bookmarkStart w:id="372" w:name="bookmark694"/>
      <w:bookmarkStart w:id="373" w:name="bookmark696"/>
      <w:bookmarkStart w:id="374" w:name="bookmark695"/>
      <w:r>
        <w:rPr>
          <w:rFonts w:ascii="宋体" w:hAnsi="宋体"/>
          <w:b/>
          <w:bCs/>
          <w:color w:val="auto"/>
          <w:sz w:val="28"/>
          <w:szCs w:val="28"/>
          <w:lang w:val="zh-TW" w:eastAsia="zh-TW" w:bidi="zh-TW"/>
        </w:rPr>
        <w:t>第五章处分材料</w:t>
      </w:r>
      <w:bookmarkEnd w:id="372"/>
      <w:bookmarkEnd w:id="373"/>
      <w:bookmarkEnd w:id="374"/>
    </w:p>
    <w:p>
      <w:pPr>
        <w:spacing w:line="307" w:lineRule="exact"/>
        <w:ind w:firstLine="420"/>
        <w:rPr>
          <w:rFonts w:ascii="宋体" w:hAnsi="宋体"/>
          <w:color w:val="auto"/>
          <w:sz w:val="18"/>
          <w:lang w:val="zh-TW" w:eastAsia="zh-TW" w:bidi="zh-TW"/>
        </w:rPr>
      </w:pPr>
      <w:r>
        <w:rPr>
          <w:rFonts w:ascii="宋体" w:hAnsi="宋体"/>
          <w:b/>
          <w:bCs/>
          <w:color w:val="auto"/>
          <w:sz w:val="18"/>
          <w:lang w:val="zh-TW" w:eastAsia="zh-TW" w:bidi="zh-TW"/>
        </w:rPr>
        <w:t>第三十</w:t>
      </w:r>
      <w:r>
        <w:rPr>
          <w:rFonts w:hint="eastAsia" w:ascii="宋体" w:hAnsi="宋体"/>
          <w:b/>
          <w:bCs/>
          <w:color w:val="auto"/>
          <w:sz w:val="18"/>
          <w:lang w:val="zh-TW" w:eastAsia="zh-TW" w:bidi="zh-TW"/>
        </w:rPr>
        <w:t>四</w:t>
      </w:r>
      <w:r>
        <w:rPr>
          <w:rFonts w:ascii="宋体" w:hAnsi="宋体"/>
          <w:b/>
          <w:bCs/>
          <w:color w:val="auto"/>
          <w:sz w:val="18"/>
          <w:lang w:val="zh-TW" w:eastAsia="zh-TW" w:bidi="zh-TW"/>
        </w:rPr>
        <w:t>条</w:t>
      </w:r>
      <w:r>
        <w:rPr>
          <w:rFonts w:ascii="宋体" w:hAnsi="宋体"/>
          <w:color w:val="auto"/>
          <w:sz w:val="18"/>
          <w:lang w:val="zh-TW" w:eastAsia="zh-TW" w:bidi="zh-TW"/>
        </w:rPr>
        <w:t>处分决定书内容包括：</w:t>
      </w:r>
    </w:p>
    <w:p>
      <w:pPr>
        <w:tabs>
          <w:tab w:val="left" w:pos="1057"/>
        </w:tabs>
        <w:spacing w:line="307" w:lineRule="exact"/>
        <w:ind w:firstLine="420"/>
        <w:rPr>
          <w:rFonts w:ascii="宋体" w:hAnsi="宋体"/>
          <w:color w:val="auto"/>
          <w:sz w:val="18"/>
          <w:lang w:val="zh-TW" w:eastAsia="zh-TW" w:bidi="zh-TW"/>
        </w:rPr>
      </w:pPr>
      <w:r>
        <w:rPr>
          <w:rFonts w:ascii="宋体" w:hAnsi="宋体"/>
          <w:color w:val="auto"/>
          <w:sz w:val="18"/>
          <w:lang w:val="zh-TW" w:eastAsia="zh-TW" w:bidi="zh-TW"/>
        </w:rPr>
        <w:t>（一）学生的基本信息（姓名、性别、出生日期、入学时间、系、专业、学号等）；</w:t>
      </w:r>
    </w:p>
    <w:p>
      <w:pPr>
        <w:tabs>
          <w:tab w:val="left" w:pos="1057"/>
        </w:tabs>
        <w:spacing w:line="307" w:lineRule="exact"/>
        <w:ind w:firstLine="420"/>
        <w:rPr>
          <w:rFonts w:ascii="宋体" w:hAnsi="宋体"/>
          <w:color w:val="auto"/>
          <w:sz w:val="18"/>
          <w:lang w:val="zh-TW" w:eastAsia="zh-TW" w:bidi="zh-TW"/>
        </w:rPr>
      </w:pPr>
      <w:r>
        <w:rPr>
          <w:rFonts w:ascii="宋体" w:hAnsi="宋体"/>
          <w:color w:val="auto"/>
          <w:sz w:val="18"/>
          <w:lang w:val="zh-TW" w:eastAsia="zh-TW" w:bidi="zh-TW"/>
        </w:rPr>
        <w:t>（二）作出处分的事实和证据；</w:t>
      </w:r>
    </w:p>
    <w:p>
      <w:pPr>
        <w:tabs>
          <w:tab w:val="left" w:pos="1057"/>
        </w:tabs>
        <w:spacing w:line="307" w:lineRule="exact"/>
        <w:ind w:firstLine="420"/>
        <w:rPr>
          <w:rFonts w:ascii="宋体" w:hAnsi="宋体"/>
          <w:color w:val="auto"/>
          <w:sz w:val="18"/>
          <w:lang w:val="zh-TW" w:eastAsia="zh-TW" w:bidi="zh-TW"/>
        </w:rPr>
      </w:pPr>
      <w:r>
        <w:rPr>
          <w:rFonts w:ascii="宋体" w:hAnsi="宋体"/>
          <w:color w:val="auto"/>
          <w:sz w:val="18"/>
          <w:lang w:val="zh-TW" w:eastAsia="zh-TW" w:bidi="zh-TW"/>
        </w:rPr>
        <w:t>（三）处分的种类、依据、期限；</w:t>
      </w:r>
    </w:p>
    <w:p>
      <w:pPr>
        <w:tabs>
          <w:tab w:val="left" w:pos="1057"/>
        </w:tabs>
        <w:spacing w:line="307" w:lineRule="exact"/>
        <w:ind w:firstLine="420"/>
        <w:rPr>
          <w:rFonts w:ascii="宋体" w:hAnsi="宋体"/>
          <w:color w:val="auto"/>
          <w:sz w:val="18"/>
          <w:lang w:val="zh-TW" w:eastAsia="zh-TW" w:bidi="zh-TW"/>
        </w:rPr>
      </w:pPr>
      <w:r>
        <w:rPr>
          <w:rFonts w:ascii="宋体" w:hAnsi="宋体"/>
          <w:color w:val="auto"/>
          <w:sz w:val="18"/>
          <w:lang w:val="zh-TW" w:eastAsia="zh-TW" w:bidi="zh-TW"/>
        </w:rPr>
        <w:t>（四）申诉的途径和期限；</w:t>
      </w:r>
    </w:p>
    <w:p>
      <w:pPr>
        <w:tabs>
          <w:tab w:val="left" w:pos="1057"/>
        </w:tabs>
        <w:spacing w:after="380" w:line="307"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（五）其他必要内容。</w:t>
      </w:r>
    </w:p>
    <w:p>
      <w:pPr>
        <w:keepNext/>
        <w:keepLines/>
        <w:spacing w:after="300"/>
        <w:jc w:val="center"/>
        <w:outlineLvl w:val="1"/>
        <w:rPr>
          <w:rFonts w:ascii="宋体" w:hAnsi="宋体"/>
          <w:b/>
          <w:bCs/>
          <w:color w:val="auto"/>
          <w:sz w:val="28"/>
          <w:szCs w:val="28"/>
          <w:lang w:val="zh-TW" w:eastAsia="zh-TW" w:bidi="zh-TW"/>
        </w:rPr>
      </w:pPr>
      <w:bookmarkStart w:id="375" w:name="bookmark702"/>
      <w:bookmarkStart w:id="376" w:name="bookmark703"/>
      <w:bookmarkStart w:id="377" w:name="bookmark704"/>
      <w:r>
        <w:rPr>
          <w:rFonts w:ascii="宋体" w:hAnsi="宋体"/>
          <w:b/>
          <w:bCs/>
          <w:color w:val="auto"/>
          <w:sz w:val="28"/>
          <w:szCs w:val="28"/>
          <w:lang w:val="zh-TW" w:eastAsia="zh-TW" w:bidi="zh-TW"/>
        </w:rPr>
        <w:t>第六章附则</w:t>
      </w:r>
      <w:bookmarkEnd w:id="375"/>
      <w:bookmarkEnd w:id="376"/>
      <w:bookmarkEnd w:id="377"/>
    </w:p>
    <w:p>
      <w:pPr>
        <w:spacing w:line="307" w:lineRule="exact"/>
        <w:ind w:firstLine="420"/>
        <w:rPr>
          <w:rFonts w:ascii="宋体" w:hAnsi="宋体"/>
          <w:color w:val="auto"/>
          <w:sz w:val="18"/>
          <w:lang w:val="zh-TW" w:eastAsia="zh-TW" w:bidi="zh-TW"/>
        </w:rPr>
      </w:pPr>
      <w:r>
        <w:rPr>
          <w:rFonts w:ascii="宋体" w:hAnsi="宋体"/>
          <w:b/>
          <w:bCs/>
          <w:color w:val="auto"/>
          <w:sz w:val="18"/>
          <w:lang w:val="zh-TW" w:eastAsia="zh-TW" w:bidi="zh-TW"/>
        </w:rPr>
        <w:t>第三十</w:t>
      </w:r>
      <w:r>
        <w:rPr>
          <w:rFonts w:hint="eastAsia" w:ascii="宋体" w:hAnsi="宋体"/>
          <w:b/>
          <w:bCs/>
          <w:color w:val="auto"/>
          <w:sz w:val="18"/>
          <w:lang w:val="zh-TW" w:eastAsia="zh-TW" w:bidi="zh-TW"/>
        </w:rPr>
        <w:t>五</w:t>
      </w:r>
      <w:r>
        <w:rPr>
          <w:rFonts w:ascii="宋体" w:hAnsi="宋体"/>
          <w:b/>
          <w:bCs/>
          <w:color w:val="auto"/>
          <w:sz w:val="18"/>
          <w:lang w:val="zh-TW" w:eastAsia="zh-TW" w:bidi="zh-TW"/>
        </w:rPr>
        <w:t>条</w:t>
      </w:r>
      <w:r>
        <w:rPr>
          <w:rFonts w:ascii="宋体" w:hAnsi="宋体"/>
          <w:color w:val="auto"/>
          <w:sz w:val="18"/>
          <w:lang w:val="zh-TW" w:eastAsia="zh-TW" w:bidi="zh-TW"/>
        </w:rPr>
        <w:t>本办法关于处分界限和幅度的</w:t>
      </w:r>
      <w:r>
        <w:rPr>
          <w:rFonts w:ascii="宋体" w:hAnsi="宋体"/>
          <w:color w:val="auto"/>
          <w:sz w:val="18"/>
          <w:lang w:val="zh-CN" w:eastAsia="zh-CN" w:bidi="zh-CN"/>
        </w:rPr>
        <w:t>“以</w:t>
      </w:r>
      <w:r>
        <w:rPr>
          <w:rFonts w:ascii="宋体" w:hAnsi="宋体"/>
          <w:color w:val="auto"/>
          <w:sz w:val="18"/>
          <w:lang w:val="zh-TW" w:eastAsia="zh-TW" w:bidi="zh-TW"/>
        </w:rPr>
        <w:t>上”和</w:t>
      </w:r>
      <w:r>
        <w:rPr>
          <w:rFonts w:ascii="宋体" w:hAnsi="宋体"/>
          <w:color w:val="auto"/>
          <w:sz w:val="18"/>
          <w:lang w:val="zh-CN" w:eastAsia="zh-CN" w:bidi="zh-CN"/>
        </w:rPr>
        <w:t>“以</w:t>
      </w:r>
      <w:r>
        <w:rPr>
          <w:rFonts w:ascii="宋体" w:hAnsi="宋体"/>
          <w:color w:val="auto"/>
          <w:sz w:val="18"/>
          <w:lang w:val="zh-TW" w:eastAsia="zh-TW" w:bidi="zh-TW"/>
        </w:rPr>
        <w:t>下”均包含本数在内。</w:t>
      </w:r>
    </w:p>
    <w:p>
      <w:pPr>
        <w:spacing w:line="307" w:lineRule="exact"/>
        <w:ind w:firstLine="420"/>
        <w:rPr>
          <w:rFonts w:ascii="宋体" w:hAnsi="宋体"/>
          <w:color w:val="auto"/>
          <w:sz w:val="18"/>
          <w:lang w:val="zh-TW" w:eastAsia="zh-TW" w:bidi="zh-TW"/>
        </w:rPr>
      </w:pPr>
      <w:r>
        <w:rPr>
          <w:rFonts w:ascii="宋体" w:hAnsi="宋体"/>
          <w:b/>
          <w:bCs/>
          <w:color w:val="auto"/>
          <w:sz w:val="18"/>
          <w:lang w:val="zh-TW" w:eastAsia="zh-TW" w:bidi="zh-TW"/>
        </w:rPr>
        <w:t>第三十</w:t>
      </w:r>
      <w:r>
        <w:rPr>
          <w:rFonts w:hint="eastAsia" w:ascii="宋体" w:hAnsi="宋体"/>
          <w:b/>
          <w:bCs/>
          <w:color w:val="auto"/>
          <w:sz w:val="18"/>
          <w:lang w:val="zh-TW" w:eastAsia="zh-TW" w:bidi="zh-TW"/>
        </w:rPr>
        <w:t>六</w:t>
      </w:r>
      <w:r>
        <w:rPr>
          <w:rFonts w:ascii="宋体" w:hAnsi="宋体"/>
          <w:b/>
          <w:bCs/>
          <w:color w:val="auto"/>
          <w:sz w:val="18"/>
          <w:lang w:val="zh-TW" w:eastAsia="zh-TW" w:bidi="zh-TW"/>
        </w:rPr>
        <w:t>条</w:t>
      </w:r>
      <w:r>
        <w:rPr>
          <w:rFonts w:ascii="宋体" w:hAnsi="宋体"/>
          <w:color w:val="auto"/>
          <w:sz w:val="18"/>
          <w:lang w:val="zh-TW" w:eastAsia="zh-TW" w:bidi="zh-TW"/>
        </w:rPr>
        <w:t>本办法由学生工作处、教学科研处负责解释。</w:t>
      </w:r>
    </w:p>
    <w:p>
      <w:pPr>
        <w:spacing w:after="340" w:line="307"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第三十</w:t>
      </w:r>
      <w:r>
        <w:rPr>
          <w:rFonts w:hint="eastAsia" w:ascii="宋体" w:hAnsi="宋体"/>
          <w:b/>
          <w:bCs/>
          <w:color w:val="auto"/>
          <w:sz w:val="18"/>
          <w:lang w:val="zh-TW" w:eastAsia="zh-TW" w:bidi="zh-TW"/>
        </w:rPr>
        <w:t>七</w:t>
      </w:r>
      <w:r>
        <w:rPr>
          <w:rFonts w:ascii="宋体" w:hAnsi="宋体"/>
          <w:b/>
          <w:bCs/>
          <w:color w:val="auto"/>
          <w:sz w:val="18"/>
          <w:lang w:val="zh-TW" w:eastAsia="zh-TW" w:bidi="zh-TW"/>
        </w:rPr>
        <w:t>条</w:t>
      </w:r>
      <w:r>
        <w:rPr>
          <w:rFonts w:ascii="宋体" w:hAnsi="宋体"/>
          <w:color w:val="auto"/>
          <w:sz w:val="18"/>
          <w:lang w:val="zh-TW" w:eastAsia="zh-TW" w:bidi="zh-TW"/>
        </w:rPr>
        <w:t>本办法自颁布之日起执行。原《南京航空航天大学金城学院学生违纪处分条例》同时废止。</w:t>
      </w:r>
    </w:p>
    <w:p>
      <w:pPr>
        <w:spacing w:after="340" w:line="307" w:lineRule="exact"/>
        <w:ind w:firstLine="420"/>
        <w:jc w:val="both"/>
        <w:rPr>
          <w:rFonts w:ascii="宋体" w:hAnsi="宋体"/>
          <w:color w:val="auto"/>
          <w:sz w:val="18"/>
          <w:lang w:val="zh-TW" w:eastAsia="zh-TW" w:bidi="zh-TW"/>
        </w:rPr>
        <w:sectPr>
          <w:pgSz w:w="9800" w:h="15120"/>
          <w:pgMar w:top="1043" w:right="652" w:bottom="987" w:left="663" w:header="0" w:footer="3" w:gutter="0"/>
          <w:pgNumType w:fmt="decimal"/>
          <w:cols w:space="720" w:num="1"/>
          <w:titlePg/>
          <w:docGrid w:linePitch="360" w:charSpace="0"/>
        </w:sectPr>
      </w:pPr>
    </w:p>
    <w:p>
      <w:pPr>
        <w:keepNext/>
        <w:keepLines/>
        <w:spacing w:before="520" w:after="480" w:line="595" w:lineRule="exact"/>
        <w:jc w:val="center"/>
        <w:outlineLvl w:val="0"/>
        <w:rPr>
          <w:rFonts w:ascii="宋体" w:hAnsi="宋体"/>
          <w:color w:val="auto"/>
          <w:sz w:val="38"/>
          <w:szCs w:val="38"/>
          <w:highlight w:val="none"/>
          <w:lang w:val="zh-TW" w:eastAsia="zh-TW" w:bidi="zh-TW"/>
        </w:rPr>
      </w:pPr>
      <w:bookmarkStart w:id="378" w:name="bookmark706"/>
      <w:bookmarkStart w:id="379" w:name="bookmark707"/>
      <w:bookmarkStart w:id="380" w:name="bookmark705"/>
      <w:bookmarkStart w:id="381" w:name="bookmark708"/>
      <w:bookmarkStart w:id="382" w:name="bookmark710"/>
      <w:bookmarkStart w:id="383" w:name="bookmark709"/>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学生申诉管理办法</w:t>
      </w:r>
      <w:bookmarkEnd w:id="378"/>
      <w:bookmarkEnd w:id="379"/>
      <w:bookmarkEnd w:id="380"/>
    </w:p>
    <w:p>
      <w:pPr>
        <w:keepNext/>
        <w:keepLines/>
        <w:spacing w:after="320"/>
        <w:jc w:val="center"/>
        <w:outlineLvl w:val="1"/>
        <w:rPr>
          <w:rFonts w:ascii="宋体" w:hAnsi="宋体"/>
          <w:b/>
          <w:bCs/>
          <w:color w:val="auto"/>
          <w:sz w:val="28"/>
          <w:szCs w:val="28"/>
          <w:lang w:val="zh-TW" w:eastAsia="zh-TW" w:bidi="zh-TW"/>
        </w:rPr>
      </w:pPr>
      <w:r>
        <w:rPr>
          <w:rFonts w:ascii="宋体" w:hAnsi="宋体"/>
          <w:b/>
          <w:bCs/>
          <w:color w:val="auto"/>
          <w:sz w:val="28"/>
          <w:szCs w:val="28"/>
          <w:lang w:val="zh-TW" w:eastAsia="zh-TW" w:bidi="zh-TW"/>
        </w:rPr>
        <w:t>第一章总则</w:t>
      </w:r>
      <w:bookmarkEnd w:id="381"/>
      <w:bookmarkEnd w:id="382"/>
      <w:bookmarkEnd w:id="383"/>
    </w:p>
    <w:p>
      <w:pPr>
        <w:spacing w:line="305"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第一条</w:t>
      </w:r>
      <w:r>
        <w:rPr>
          <w:rFonts w:ascii="宋体" w:hAnsi="宋体"/>
          <w:color w:val="auto"/>
          <w:sz w:val="18"/>
          <w:lang w:val="zh-TW" w:eastAsia="zh-TW" w:bidi="zh-TW"/>
        </w:rPr>
        <w:t>为了维护学生的合法权</w:t>
      </w:r>
      <w:r>
        <w:rPr>
          <w:rFonts w:hint="eastAsia" w:ascii="宋体" w:hAnsi="宋体"/>
          <w:color w:val="auto"/>
          <w:sz w:val="18"/>
          <w:lang w:val="zh-TW" w:eastAsia="zh-TW" w:bidi="zh-TW"/>
        </w:rPr>
        <w:t>益</w:t>
      </w:r>
      <w:r>
        <w:rPr>
          <w:rFonts w:ascii="宋体" w:hAnsi="宋体"/>
          <w:color w:val="auto"/>
          <w:sz w:val="18"/>
          <w:lang w:val="zh-TW" w:eastAsia="zh-TW" w:bidi="zh-TW"/>
        </w:rPr>
        <w:t>，根据《中华人民共和国教育法》、《中华人民共和国高等教育法》、《普通高等学校学生管理规定》等法律法规及《南京航空航天大学金城学院学生管理规定》，制定本办法。</w:t>
      </w:r>
    </w:p>
    <w:p>
      <w:pPr>
        <w:spacing w:line="300" w:lineRule="exact"/>
        <w:ind w:firstLine="420"/>
        <w:rPr>
          <w:rFonts w:ascii="宋体" w:hAnsi="宋体"/>
          <w:color w:val="auto"/>
          <w:sz w:val="18"/>
          <w:lang w:val="zh-TW" w:eastAsia="zh-TW" w:bidi="zh-TW"/>
        </w:rPr>
      </w:pPr>
      <w:r>
        <w:rPr>
          <w:rFonts w:ascii="宋体" w:hAnsi="宋体"/>
          <w:b/>
          <w:bCs/>
          <w:color w:val="auto"/>
          <w:sz w:val="18"/>
          <w:lang w:val="zh-TW" w:eastAsia="zh-TW" w:bidi="zh-TW"/>
        </w:rPr>
        <w:t>第二条</w:t>
      </w:r>
      <w:r>
        <w:rPr>
          <w:rFonts w:ascii="宋体" w:hAnsi="宋体"/>
          <w:color w:val="auto"/>
          <w:sz w:val="18"/>
          <w:lang w:val="zh-TW" w:eastAsia="zh-TW" w:bidi="zh-TW"/>
        </w:rPr>
        <w:t>本办法适用于南京航空航天大学金城学院全日制在籍学生。</w:t>
      </w:r>
    </w:p>
    <w:p>
      <w:pPr>
        <w:spacing w:line="298"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第三条</w:t>
      </w:r>
      <w:r>
        <w:rPr>
          <w:rFonts w:ascii="宋体" w:hAnsi="宋体"/>
          <w:color w:val="auto"/>
          <w:sz w:val="18"/>
          <w:lang w:val="zh-TW" w:eastAsia="zh-TW" w:bidi="zh-TW"/>
        </w:rPr>
        <w:t>学生对学校作出的违规违纪处分、取消入学资格、退学处理等决定有异议的，可以向依照程序学校提出申诉。</w:t>
      </w:r>
    </w:p>
    <w:p>
      <w:pPr>
        <w:spacing w:after="380" w:line="298"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第四条</w:t>
      </w:r>
      <w:r>
        <w:rPr>
          <w:rFonts w:ascii="宋体" w:hAnsi="宋体"/>
          <w:color w:val="auto"/>
          <w:sz w:val="18"/>
          <w:lang w:val="zh-TW" w:eastAsia="zh-TW" w:bidi="zh-TW"/>
        </w:rPr>
        <w:t>学生应当本着严肃、认真、诚实的态度进行申诉，学校遵循合法、公正、实事求是的原则处理学生的申诉。</w:t>
      </w:r>
    </w:p>
    <w:p>
      <w:pPr>
        <w:keepNext/>
        <w:keepLines/>
        <w:spacing w:after="320"/>
        <w:jc w:val="center"/>
        <w:outlineLvl w:val="1"/>
        <w:rPr>
          <w:rFonts w:ascii="宋体" w:hAnsi="宋体"/>
          <w:b/>
          <w:bCs/>
          <w:color w:val="auto"/>
          <w:sz w:val="28"/>
          <w:szCs w:val="28"/>
          <w:lang w:val="zh-TW" w:eastAsia="zh-TW" w:bidi="zh-TW"/>
        </w:rPr>
      </w:pPr>
      <w:bookmarkStart w:id="384" w:name="bookmark711"/>
      <w:bookmarkStart w:id="385" w:name="bookmark713"/>
      <w:bookmarkStart w:id="386" w:name="bookmark712"/>
      <w:r>
        <w:rPr>
          <w:rFonts w:ascii="宋体" w:hAnsi="宋体"/>
          <w:b/>
          <w:bCs/>
          <w:color w:val="auto"/>
          <w:sz w:val="28"/>
          <w:szCs w:val="28"/>
          <w:lang w:val="zh-TW" w:eastAsia="zh-TW" w:bidi="zh-TW"/>
        </w:rPr>
        <w:t>第二章申诉处理组织机构</w:t>
      </w:r>
      <w:bookmarkEnd w:id="384"/>
      <w:bookmarkEnd w:id="385"/>
      <w:bookmarkEnd w:id="386"/>
    </w:p>
    <w:p>
      <w:pPr>
        <w:spacing w:after="80" w:line="300"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第五条</w:t>
      </w:r>
      <w:r>
        <w:rPr>
          <w:rFonts w:ascii="宋体" w:hAnsi="宋体"/>
          <w:color w:val="auto"/>
          <w:sz w:val="18"/>
          <w:lang w:val="zh-TW" w:eastAsia="zh-TW" w:bidi="zh-TW"/>
        </w:rPr>
        <w:t>学校成立</w:t>
      </w:r>
      <w:r>
        <w:rPr>
          <w:rFonts w:ascii="宋体" w:hAnsi="宋体"/>
          <w:color w:val="auto"/>
          <w:sz w:val="18"/>
          <w:lang w:val="zh-CN" w:eastAsia="zh-CN" w:bidi="zh-CN"/>
        </w:rPr>
        <w:t>“南</w:t>
      </w:r>
      <w:r>
        <w:rPr>
          <w:rFonts w:ascii="宋体" w:hAnsi="宋体"/>
          <w:color w:val="auto"/>
          <w:sz w:val="18"/>
          <w:lang w:val="zh-TW" w:eastAsia="zh-TW" w:bidi="zh-TW"/>
        </w:rPr>
        <w:t>京航空航天大学金城学院学生申诉处理委员会”（以下简称申诉处理委员会）专门受理学生申诉。对于学生申诉事件，可视具体情况由</w:t>
      </w:r>
    </w:p>
    <w:p>
      <w:pPr>
        <w:tabs>
          <w:tab w:val="left" w:pos="956"/>
        </w:tabs>
        <w:ind w:firstLine="420"/>
        <w:rPr>
          <w:rFonts w:ascii="宋体" w:hAnsi="宋体"/>
          <w:color w:val="auto"/>
          <w:sz w:val="18"/>
          <w:lang w:val="zh-TW" w:eastAsia="zh-TW" w:bidi="zh-TW"/>
        </w:rPr>
      </w:pPr>
      <w:r>
        <w:rPr>
          <w:rFonts w:hint="eastAsia" w:ascii="宋体" w:hAnsi="宋体"/>
          <w:color w:val="auto"/>
          <w:sz w:val="18"/>
          <w:szCs w:val="20"/>
          <w:lang w:val="zh-TW" w:eastAsia="zh-TW" w:bidi="zh-TW"/>
        </w:rPr>
        <w:t>（</w:t>
      </w:r>
      <w:r>
        <w:rPr>
          <w:color w:val="auto"/>
          <w:szCs w:val="20"/>
          <w:lang w:val="zh-TW" w:eastAsia="zh-TW" w:bidi="zh-TW"/>
        </w:rPr>
        <w:t>1</w:t>
      </w:r>
      <w:r>
        <w:rPr>
          <w:rFonts w:hint="eastAsia" w:ascii="宋体" w:hAnsi="宋体"/>
          <w:color w:val="auto"/>
          <w:sz w:val="18"/>
          <w:szCs w:val="20"/>
          <w:lang w:val="zh-TW" w:eastAsia="zh-TW" w:bidi="zh-TW"/>
        </w:rPr>
        <w:t>）</w:t>
      </w:r>
      <w:r>
        <w:rPr>
          <w:rFonts w:ascii="宋体" w:hAnsi="宋体"/>
          <w:color w:val="auto"/>
          <w:sz w:val="18"/>
          <w:lang w:val="zh-TW" w:eastAsia="zh-TW" w:bidi="zh-TW"/>
        </w:rPr>
        <w:t>学校领导</w:t>
      </w:r>
    </w:p>
    <w:p>
      <w:pPr>
        <w:tabs>
          <w:tab w:val="left" w:pos="956"/>
        </w:tabs>
        <w:ind w:firstLine="420"/>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2</w:t>
      </w:r>
      <w:r>
        <w:rPr>
          <w:rFonts w:ascii="宋体" w:hAnsi="宋体"/>
          <w:color w:val="auto"/>
          <w:sz w:val="18"/>
          <w:szCs w:val="20"/>
          <w:lang w:val="zh-TW" w:eastAsia="zh-TW" w:bidi="zh-TW"/>
        </w:rPr>
        <w:t>）</w:t>
      </w:r>
      <w:r>
        <w:rPr>
          <w:rFonts w:ascii="宋体" w:hAnsi="宋体"/>
          <w:color w:val="auto"/>
          <w:sz w:val="18"/>
          <w:lang w:val="zh-TW" w:eastAsia="zh-TW" w:bidi="zh-TW"/>
        </w:rPr>
        <w:t>学生工作处、教学科研处、</w:t>
      </w:r>
      <w:r>
        <w:rPr>
          <w:rFonts w:hint="eastAsia" w:ascii="宋体" w:hAnsi="宋体"/>
          <w:color w:val="auto"/>
          <w:sz w:val="18"/>
          <w:lang w:val="zh-TW" w:eastAsia="zh-CN" w:bidi="zh-TW"/>
        </w:rPr>
        <w:t>后勤保卫处</w:t>
      </w:r>
      <w:r>
        <w:rPr>
          <w:rFonts w:ascii="宋体" w:hAnsi="宋体"/>
          <w:color w:val="auto"/>
          <w:sz w:val="18"/>
          <w:lang w:val="zh-TW" w:eastAsia="zh-TW" w:bidi="zh-TW"/>
        </w:rPr>
        <w:t>等相关部门主要负责人</w:t>
      </w:r>
    </w:p>
    <w:p>
      <w:pPr>
        <w:tabs>
          <w:tab w:val="left" w:pos="956"/>
        </w:tabs>
        <w:ind w:firstLine="42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3</w:t>
      </w:r>
      <w:r>
        <w:rPr>
          <w:rFonts w:ascii="宋体" w:hAnsi="宋体"/>
          <w:color w:val="auto"/>
          <w:sz w:val="18"/>
          <w:szCs w:val="20"/>
          <w:lang w:val="zh-TW" w:eastAsia="zh-TW" w:bidi="zh-TW"/>
        </w:rPr>
        <w:t>）</w:t>
      </w:r>
      <w:r>
        <w:rPr>
          <w:rFonts w:ascii="宋体" w:hAnsi="宋体"/>
          <w:color w:val="auto"/>
          <w:sz w:val="18"/>
          <w:lang w:val="zh-TW" w:eastAsia="zh-TW" w:bidi="zh-TW"/>
        </w:rPr>
        <w:t>法律顾问</w:t>
      </w:r>
    </w:p>
    <w:p>
      <w:pPr>
        <w:tabs>
          <w:tab w:val="left" w:pos="956"/>
        </w:tabs>
        <w:ind w:firstLine="42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4</w:t>
      </w:r>
      <w:r>
        <w:rPr>
          <w:rFonts w:ascii="宋体" w:hAnsi="宋体"/>
          <w:color w:val="auto"/>
          <w:sz w:val="18"/>
          <w:szCs w:val="20"/>
          <w:lang w:val="zh-TW" w:eastAsia="zh-TW" w:bidi="zh-TW"/>
        </w:rPr>
        <w:t>）</w:t>
      </w:r>
      <w:r>
        <w:rPr>
          <w:rFonts w:ascii="宋体" w:hAnsi="宋体"/>
          <w:color w:val="auto"/>
          <w:sz w:val="18"/>
          <w:lang w:val="zh-TW" w:eastAsia="zh-TW" w:bidi="zh-TW"/>
        </w:rPr>
        <w:t>学院学生工作主要负责人</w:t>
      </w:r>
    </w:p>
    <w:p>
      <w:pPr>
        <w:tabs>
          <w:tab w:val="left" w:pos="956"/>
        </w:tabs>
        <w:ind w:firstLine="42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5</w:t>
      </w:r>
      <w:r>
        <w:rPr>
          <w:rFonts w:ascii="宋体" w:hAnsi="宋体"/>
          <w:color w:val="auto"/>
          <w:sz w:val="18"/>
          <w:szCs w:val="20"/>
          <w:lang w:val="zh-TW" w:eastAsia="zh-TW" w:bidi="zh-TW"/>
        </w:rPr>
        <w:t>）</w:t>
      </w:r>
      <w:r>
        <w:rPr>
          <w:rFonts w:ascii="宋体" w:hAnsi="宋体"/>
          <w:color w:val="auto"/>
          <w:sz w:val="18"/>
          <w:lang w:val="zh-TW" w:eastAsia="zh-TW" w:bidi="zh-TW"/>
        </w:rPr>
        <w:t>教师代表</w:t>
      </w:r>
    </w:p>
    <w:p>
      <w:pPr>
        <w:tabs>
          <w:tab w:val="left" w:pos="956"/>
        </w:tabs>
        <w:ind w:firstLine="420"/>
        <w:jc w:val="both"/>
        <w:rPr>
          <w:rFonts w:ascii="宋体" w:hAnsi="宋体"/>
          <w:color w:val="auto"/>
          <w:sz w:val="18"/>
          <w:lang w:val="zh-TW" w:eastAsia="zh-TW" w:bidi="zh-TW"/>
        </w:rPr>
      </w:pPr>
      <w:r>
        <w:rPr>
          <w:rFonts w:ascii="宋体" w:hAnsi="宋体"/>
          <w:color w:val="auto"/>
          <w:sz w:val="18"/>
          <w:szCs w:val="20"/>
          <w:lang w:val="zh-TW" w:eastAsia="zh-TW" w:bidi="zh-TW"/>
        </w:rPr>
        <w:t>（</w:t>
      </w:r>
      <w:r>
        <w:rPr>
          <w:color w:val="auto"/>
          <w:szCs w:val="20"/>
          <w:lang w:val="zh-TW" w:eastAsia="zh-TW" w:bidi="zh-TW"/>
        </w:rPr>
        <w:t>6</w:t>
      </w:r>
      <w:r>
        <w:rPr>
          <w:rFonts w:ascii="宋体" w:hAnsi="宋体"/>
          <w:color w:val="auto"/>
          <w:sz w:val="18"/>
          <w:szCs w:val="20"/>
          <w:lang w:val="zh-TW" w:eastAsia="zh-TW" w:bidi="zh-TW"/>
        </w:rPr>
        <w:t>）</w:t>
      </w:r>
      <w:r>
        <w:rPr>
          <w:rFonts w:ascii="宋体" w:hAnsi="宋体"/>
          <w:color w:val="auto"/>
          <w:sz w:val="18"/>
          <w:lang w:val="zh-TW" w:eastAsia="zh-TW" w:bidi="zh-TW"/>
        </w:rPr>
        <w:t>学生代表</w:t>
      </w:r>
    </w:p>
    <w:p>
      <w:pPr>
        <w:spacing w:line="300" w:lineRule="exact"/>
        <w:ind w:firstLine="420"/>
        <w:jc w:val="both"/>
        <w:rPr>
          <w:rFonts w:ascii="宋体" w:hAnsi="宋体"/>
          <w:color w:val="auto"/>
          <w:sz w:val="18"/>
          <w:lang w:val="zh-TW" w:eastAsia="zh-TW" w:bidi="zh-TW"/>
        </w:rPr>
      </w:pPr>
      <w:r>
        <w:rPr>
          <w:rFonts w:ascii="宋体" w:hAnsi="宋体"/>
          <w:color w:val="auto"/>
          <w:sz w:val="18"/>
          <w:lang w:val="zh-TW" w:eastAsia="zh-TW" w:bidi="zh-TW"/>
        </w:rPr>
        <w:t>学校组成不少于七人，总人数为奇数的申诉处理委员会，处理具体申诉事件。教师代表和学生代表由各学院推荐产生。申诉处理委员会设主任一名，由校领导担任。</w:t>
      </w:r>
    </w:p>
    <w:p>
      <w:pPr>
        <w:spacing w:line="300" w:lineRule="exact"/>
        <w:ind w:firstLine="420"/>
        <w:jc w:val="both"/>
        <w:rPr>
          <w:rFonts w:ascii="宋体" w:hAnsi="宋体"/>
          <w:color w:val="auto"/>
          <w:sz w:val="18"/>
          <w:lang w:val="zh-TW" w:eastAsia="zh-TW" w:bidi="zh-TW"/>
        </w:rPr>
      </w:pPr>
      <w:r>
        <w:rPr>
          <w:rFonts w:ascii="宋体" w:hAnsi="宋体"/>
          <w:color w:val="auto"/>
          <w:sz w:val="18"/>
          <w:lang w:val="zh-TW" w:eastAsia="zh-TW" w:bidi="zh-TW"/>
        </w:rPr>
        <w:t>学生申诉处理委员会会议应有</w:t>
      </w:r>
      <w:r>
        <w:rPr>
          <w:color w:val="auto"/>
          <w:szCs w:val="20"/>
          <w:lang w:val="zh-TW" w:eastAsia="zh-TW" w:bidi="zh-TW"/>
        </w:rPr>
        <w:t>2/3</w:t>
      </w:r>
      <w:r>
        <w:rPr>
          <w:rFonts w:ascii="宋体" w:hAnsi="宋体"/>
          <w:color w:val="auto"/>
          <w:sz w:val="18"/>
          <w:lang w:val="zh-TW" w:eastAsia="zh-TW" w:bidi="zh-TW"/>
        </w:rPr>
        <w:t>及以上委员出席才能召开，申诉处理决定必须经申诉处理委员会到会委员</w:t>
      </w:r>
      <w:r>
        <w:rPr>
          <w:color w:val="auto"/>
          <w:szCs w:val="20"/>
          <w:lang w:val="zh-TW" w:eastAsia="zh-TW" w:bidi="zh-TW"/>
        </w:rPr>
        <w:t>2/3</w:t>
      </w:r>
      <w:r>
        <w:rPr>
          <w:rFonts w:ascii="宋体" w:hAnsi="宋体"/>
          <w:color w:val="auto"/>
          <w:sz w:val="18"/>
          <w:lang w:val="zh-TW" w:eastAsia="zh-TW" w:bidi="zh-TW"/>
        </w:rPr>
        <w:t>及以上人员投票表决同意，方为有效。</w:t>
      </w:r>
    </w:p>
    <w:p>
      <w:pPr>
        <w:spacing w:line="300"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第六条</w:t>
      </w:r>
      <w:r>
        <w:rPr>
          <w:rFonts w:ascii="宋体" w:hAnsi="宋体"/>
          <w:color w:val="auto"/>
          <w:sz w:val="18"/>
          <w:lang w:val="zh-TW" w:eastAsia="zh-TW" w:bidi="zh-TW"/>
        </w:rPr>
        <w:t>申诉处理委员会职责：</w:t>
      </w:r>
    </w:p>
    <w:p>
      <w:pPr>
        <w:tabs>
          <w:tab w:val="left" w:pos="1062"/>
        </w:tabs>
        <w:spacing w:line="300"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（一）受理申诉人的申诉；</w:t>
      </w:r>
    </w:p>
    <w:p>
      <w:pPr>
        <w:tabs>
          <w:tab w:val="left" w:pos="1062"/>
        </w:tabs>
        <w:spacing w:line="300"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（二）对学生申诉的问题进行复查；</w:t>
      </w:r>
    </w:p>
    <w:p>
      <w:pPr>
        <w:tabs>
          <w:tab w:val="left" w:pos="1062"/>
        </w:tabs>
        <w:spacing w:line="300"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（三）如有必要，组织召开听证会；</w:t>
      </w:r>
    </w:p>
    <w:p>
      <w:pPr>
        <w:tabs>
          <w:tab w:val="left" w:pos="1062"/>
        </w:tabs>
        <w:spacing w:line="300"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（四）对学生申诉作出复查决定。</w:t>
      </w:r>
    </w:p>
    <w:p>
      <w:pPr>
        <w:spacing w:line="300"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第七条</w:t>
      </w:r>
      <w:r>
        <w:rPr>
          <w:rFonts w:ascii="宋体" w:hAnsi="宋体"/>
          <w:color w:val="auto"/>
          <w:sz w:val="18"/>
          <w:lang w:val="zh-TW" w:eastAsia="zh-TW" w:bidi="zh-TW"/>
        </w:rPr>
        <w:t>申诉处理委员会下设办公室。申诉处理委员会办公室负责学生申诉的日常工作，包括接收学生申诉申请、审查申诉资格；通知相关部门收集准备有关材料、组织相关人员参加会议、组织相关会议等。申诉处理委员会办公室受申诉处理委员会委托，有权要求各学院和相关职能部门对申诉过程中的调查审核工作予以协助和配合。</w:t>
      </w:r>
    </w:p>
    <w:p>
      <w:pPr>
        <w:spacing w:after="380"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第八条</w:t>
      </w:r>
      <w:r>
        <w:rPr>
          <w:rFonts w:ascii="宋体" w:hAnsi="宋体"/>
          <w:color w:val="auto"/>
          <w:sz w:val="18"/>
          <w:lang w:val="zh-TW" w:eastAsia="zh-TW" w:bidi="zh-TW"/>
        </w:rPr>
        <w:t>申诉处理委员会的委员如果与申诉事件有直接的利害关系，应该回避。</w:t>
      </w:r>
    </w:p>
    <w:p>
      <w:pPr>
        <w:keepNext/>
        <w:keepLines/>
        <w:spacing w:after="320"/>
        <w:jc w:val="center"/>
        <w:outlineLvl w:val="1"/>
        <w:rPr>
          <w:rFonts w:ascii="宋体" w:hAnsi="宋体"/>
          <w:b/>
          <w:bCs/>
          <w:color w:val="auto"/>
          <w:sz w:val="28"/>
          <w:szCs w:val="28"/>
          <w:lang w:val="zh-TW" w:eastAsia="zh-TW" w:bidi="zh-TW"/>
        </w:rPr>
      </w:pPr>
      <w:bookmarkStart w:id="387" w:name="bookmark725"/>
      <w:bookmarkStart w:id="388" w:name="bookmark724"/>
      <w:bookmarkStart w:id="389" w:name="bookmark726"/>
      <w:r>
        <w:rPr>
          <w:rFonts w:ascii="宋体" w:hAnsi="宋体"/>
          <w:b/>
          <w:bCs/>
          <w:color w:val="auto"/>
          <w:sz w:val="28"/>
          <w:szCs w:val="28"/>
          <w:lang w:val="zh-TW" w:eastAsia="zh-TW" w:bidi="zh-TW"/>
        </w:rPr>
        <w:t>第三章申诉与处理</w:t>
      </w:r>
      <w:bookmarkEnd w:id="387"/>
      <w:bookmarkEnd w:id="388"/>
      <w:bookmarkEnd w:id="389"/>
    </w:p>
    <w:p>
      <w:pPr>
        <w:spacing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第九条</w:t>
      </w:r>
      <w:r>
        <w:rPr>
          <w:rFonts w:ascii="宋体" w:hAnsi="宋体"/>
          <w:color w:val="auto"/>
          <w:sz w:val="18"/>
          <w:lang w:val="zh-TW" w:eastAsia="zh-TW" w:bidi="zh-TW"/>
        </w:rPr>
        <w:t>学生对学校就其本人作出的处分或处理决定有异议的，在接到学校处分或处理决定书之日起</w:t>
      </w:r>
      <w:r>
        <w:rPr>
          <w:color w:val="auto"/>
          <w:szCs w:val="20"/>
          <w:lang w:val="zh-TW" w:eastAsia="zh-TW" w:bidi="zh-TW"/>
        </w:rPr>
        <w:t>10</w:t>
      </w:r>
      <w:r>
        <w:rPr>
          <w:rFonts w:ascii="宋体" w:hAnsi="宋体"/>
          <w:color w:val="auto"/>
          <w:sz w:val="18"/>
          <w:lang w:val="zh-TW" w:eastAsia="zh-TW" w:bidi="zh-TW"/>
        </w:rPr>
        <w:t>个工作日内，可以向学校申诉处理委员会提出书面申诉。申诉应以书面形式，直接送交申诉处理委员会办公室。学生在申诉期内未提出申诉的，逾期学校或者江苏省教育厅不再受理其提出的申诉。</w:t>
      </w:r>
    </w:p>
    <w:p>
      <w:pPr>
        <w:spacing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第十条</w:t>
      </w:r>
      <w:r>
        <w:rPr>
          <w:rFonts w:ascii="宋体" w:hAnsi="宋体"/>
          <w:color w:val="auto"/>
          <w:sz w:val="18"/>
          <w:lang w:val="zh-TW" w:eastAsia="zh-TW" w:bidi="zh-TW"/>
        </w:rPr>
        <w:t>学生提出申诉时，应当向申诉处理委员会提交处分或处理决定书（复印件）和书面申诉书，申诉书应有本人亲笔签名。申诉书应当载明以下内容：</w:t>
      </w:r>
    </w:p>
    <w:p>
      <w:pPr>
        <w:spacing w:line="304" w:lineRule="exact"/>
        <w:ind w:firstLine="420"/>
        <w:jc w:val="both"/>
        <w:rPr>
          <w:rFonts w:ascii="宋体" w:hAnsi="宋体"/>
          <w:color w:val="auto"/>
          <w:sz w:val="18"/>
          <w:lang w:val="zh-TW" w:eastAsia="zh-TW" w:bidi="zh-TW"/>
        </w:rPr>
      </w:pPr>
      <w:r>
        <w:rPr>
          <w:rFonts w:ascii="宋体" w:hAnsi="宋体"/>
          <w:color w:val="auto"/>
          <w:sz w:val="18"/>
          <w:lang w:val="zh-TW" w:eastAsia="zh-TW" w:bidi="zh-TW"/>
        </w:rPr>
        <w:t>（</w:t>
      </w:r>
      <w:r>
        <w:rPr>
          <w:rFonts w:hint="eastAsia" w:ascii="宋体" w:hAnsi="宋体"/>
          <w:color w:val="auto"/>
          <w:sz w:val="18"/>
          <w:lang w:val="zh-TW" w:eastAsia="zh-TW" w:bidi="zh-TW"/>
        </w:rPr>
        <w:t>一</w:t>
      </w:r>
      <w:r>
        <w:rPr>
          <w:rFonts w:ascii="宋体" w:hAnsi="宋体"/>
          <w:color w:val="auto"/>
          <w:sz w:val="18"/>
          <w:lang w:val="zh-TW" w:eastAsia="zh-TW" w:bidi="zh-TW"/>
        </w:rPr>
        <w:t>）申诉人姓名、性别、出生日期、入学时间、学院、专业、学号、联系方式等基本情况</w:t>
      </w:r>
      <w:r>
        <w:rPr>
          <w:rFonts w:hint="eastAsia" w:ascii="宋体" w:hAnsi="宋体"/>
          <w:color w:val="auto"/>
          <w:sz w:val="18"/>
          <w:lang w:val="zh-TW" w:eastAsia="zh-TW" w:bidi="zh-TW"/>
        </w:rPr>
        <w:t>；</w:t>
      </w:r>
    </w:p>
    <w:p>
      <w:pPr>
        <w:tabs>
          <w:tab w:val="left" w:pos="1057"/>
        </w:tabs>
        <w:spacing w:line="304"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w:t>
      </w:r>
      <w:r>
        <w:rPr>
          <w:rFonts w:hint="eastAsia" w:ascii="宋体" w:hAnsi="宋体"/>
          <w:color w:val="auto"/>
          <w:sz w:val="18"/>
          <w:lang w:val="zh-TW" w:eastAsia="zh-TW" w:bidi="zh-TW"/>
        </w:rPr>
        <w:t>申诉请求</w:t>
      </w:r>
      <w:r>
        <w:rPr>
          <w:rFonts w:ascii="宋体" w:hAnsi="宋体"/>
          <w:color w:val="auto"/>
          <w:sz w:val="18"/>
          <w:lang w:val="zh-TW" w:eastAsia="zh-TW" w:bidi="zh-TW"/>
        </w:rPr>
        <w:t>；</w:t>
      </w:r>
    </w:p>
    <w:p>
      <w:pPr>
        <w:tabs>
          <w:tab w:val="left" w:pos="1057"/>
        </w:tabs>
        <w:spacing w:line="304"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（三）事实和理由；</w:t>
      </w:r>
    </w:p>
    <w:p>
      <w:pPr>
        <w:tabs>
          <w:tab w:val="left" w:pos="1057"/>
        </w:tabs>
        <w:spacing w:line="304" w:lineRule="exact"/>
        <w:ind w:firstLine="420"/>
        <w:jc w:val="both"/>
        <w:rPr>
          <w:rFonts w:ascii="宋体" w:hAnsi="宋体"/>
          <w:color w:val="auto"/>
          <w:sz w:val="18"/>
          <w:lang w:val="zh-TW" w:eastAsia="zh-TW" w:bidi="zh-TW"/>
        </w:rPr>
      </w:pPr>
      <w:r>
        <w:rPr>
          <w:rFonts w:ascii="宋体" w:hAnsi="宋体"/>
          <w:color w:val="auto"/>
          <w:sz w:val="18"/>
          <w:lang w:val="zh-TW" w:eastAsia="zh-TW" w:bidi="zh-TW"/>
        </w:rPr>
        <w:t>（四）申诉日期。</w:t>
      </w:r>
    </w:p>
    <w:p>
      <w:pPr>
        <w:spacing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第十一条</w:t>
      </w:r>
      <w:r>
        <w:rPr>
          <w:rFonts w:ascii="宋体" w:hAnsi="宋体"/>
          <w:color w:val="auto"/>
          <w:sz w:val="18"/>
          <w:lang w:val="zh-TW" w:eastAsia="zh-TW" w:bidi="zh-TW"/>
        </w:rPr>
        <w:t>申诉处理委员会办公室接到申诉书后，应当对申诉人的资格和申诉条件进行审查，对不符合申诉条件的直接驳回，并向申诉人做出不予受理的书面答复；对符合以下申诉条件的予以受理。</w:t>
      </w:r>
    </w:p>
    <w:p>
      <w:pPr>
        <w:spacing w:line="304" w:lineRule="exact"/>
        <w:ind w:firstLine="420"/>
        <w:jc w:val="both"/>
        <w:rPr>
          <w:rFonts w:ascii="宋体" w:hAnsi="宋体"/>
          <w:color w:val="auto"/>
          <w:sz w:val="18"/>
          <w:lang w:val="zh-TW" w:eastAsia="zh-TW" w:bidi="zh-TW"/>
        </w:rPr>
      </w:pPr>
      <w:r>
        <w:rPr>
          <w:rFonts w:ascii="宋体" w:hAnsi="宋体"/>
          <w:color w:val="auto"/>
          <w:sz w:val="18"/>
          <w:lang w:eastAsia="zh-CN"/>
        </w:rPr>
        <w:t>（</w:t>
      </w:r>
      <w:r>
        <w:rPr>
          <w:rFonts w:hint="eastAsia" w:ascii="宋体" w:hAnsi="宋体"/>
          <w:color w:val="auto"/>
          <w:sz w:val="18"/>
          <w:lang w:eastAsia="zh-CN"/>
        </w:rPr>
        <w:t>一</w:t>
      </w:r>
      <w:r>
        <w:rPr>
          <w:rFonts w:ascii="宋体" w:hAnsi="宋体"/>
          <w:color w:val="auto"/>
          <w:sz w:val="18"/>
          <w:lang w:eastAsia="zh-CN"/>
        </w:rPr>
        <w:t>）</w:t>
      </w:r>
      <w:r>
        <w:rPr>
          <w:rFonts w:ascii="宋体" w:hAnsi="宋体"/>
          <w:color w:val="auto"/>
          <w:sz w:val="18"/>
          <w:lang w:val="zh-TW" w:eastAsia="zh-TW" w:bidi="zh-TW"/>
        </w:rPr>
        <w:t>是对学校就其作出的有关违规违纪处分、取消入学资格或者退学处理的申诉；</w:t>
      </w:r>
    </w:p>
    <w:p>
      <w:pPr>
        <w:tabs>
          <w:tab w:val="left" w:pos="1057"/>
        </w:tabs>
        <w:spacing w:line="304" w:lineRule="exact"/>
        <w:ind w:firstLine="420"/>
        <w:jc w:val="both"/>
        <w:rPr>
          <w:rFonts w:ascii="宋体" w:hAnsi="宋体"/>
          <w:color w:val="auto"/>
          <w:sz w:val="18"/>
          <w:lang w:val="zh-TW" w:eastAsia="zh-TW" w:bidi="zh-TW"/>
        </w:rPr>
      </w:pPr>
      <w:r>
        <w:rPr>
          <w:rFonts w:ascii="宋体" w:hAnsi="宋体"/>
          <w:color w:val="auto"/>
          <w:sz w:val="18"/>
          <w:lang w:val="zh-TW" w:eastAsia="zh-TW" w:bidi="zh-TW"/>
        </w:rPr>
        <w:t>（二）提出申诉的日期在申诉期内；</w:t>
      </w:r>
    </w:p>
    <w:p>
      <w:pPr>
        <w:tabs>
          <w:tab w:val="left" w:pos="1057"/>
        </w:tabs>
        <w:spacing w:line="304"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（三）申诉材料符合第十条要求。</w:t>
      </w:r>
    </w:p>
    <w:p>
      <w:pPr>
        <w:spacing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第十二条</w:t>
      </w:r>
      <w:r>
        <w:rPr>
          <w:rFonts w:ascii="宋体" w:hAnsi="宋体"/>
          <w:color w:val="auto"/>
          <w:sz w:val="18"/>
          <w:lang w:val="zh-TW" w:eastAsia="zh-TW" w:bidi="zh-TW"/>
        </w:rPr>
        <w:t>申诉处理委员会对学生提出的申诉进行复查，并在接到书面申诉之日起</w:t>
      </w:r>
      <w:r>
        <w:rPr>
          <w:color w:val="auto"/>
          <w:szCs w:val="20"/>
          <w:lang w:val="zh-TW" w:eastAsia="zh-TW" w:bidi="zh-TW"/>
        </w:rPr>
        <w:t>15</w:t>
      </w:r>
      <w:r>
        <w:rPr>
          <w:rFonts w:ascii="宋体" w:hAnsi="宋体"/>
          <w:color w:val="auto"/>
          <w:sz w:val="18"/>
          <w:lang w:val="zh-TW" w:eastAsia="zh-TW" w:bidi="zh-TW"/>
        </w:rPr>
        <w:t>个工作日内，作出复査结论并告知申诉人。因故确需延长作出复査结论时间的，应提前告知申诉人。</w:t>
      </w:r>
    </w:p>
    <w:p>
      <w:pPr>
        <w:spacing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第十三条</w:t>
      </w:r>
      <w:r>
        <w:rPr>
          <w:rFonts w:ascii="宋体" w:hAnsi="宋体"/>
          <w:color w:val="auto"/>
          <w:sz w:val="18"/>
          <w:lang w:val="zh-TW" w:eastAsia="zh-TW" w:bidi="zh-TW"/>
        </w:rPr>
        <w:t>申诉处理委员会根据申诉人的申诉理由和申诉请求，提取原处分决定的原始材料，并予复查，对申诉人提出的新的线索予以核实和查证，并听取原处分人及相关领导的意见。</w:t>
      </w:r>
    </w:p>
    <w:p>
      <w:pPr>
        <w:spacing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第十四条</w:t>
      </w:r>
      <w:r>
        <w:rPr>
          <w:rFonts w:ascii="宋体" w:hAnsi="宋体"/>
          <w:color w:val="auto"/>
          <w:sz w:val="18"/>
          <w:lang w:val="zh-TW" w:eastAsia="zh-TW" w:bidi="zh-TW"/>
        </w:rPr>
        <w:t>申诉处理委员会作出复查结论后，不改变原处分决定的，直接告知申诉人并抄送相关职能部门。如须改变原处分决定的，提交校长办公会或相关部门重新研究决定。</w:t>
      </w:r>
    </w:p>
    <w:p>
      <w:pPr>
        <w:spacing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第十五条</w:t>
      </w:r>
      <w:r>
        <w:rPr>
          <w:rFonts w:ascii="宋体" w:hAnsi="宋体"/>
          <w:color w:val="auto"/>
          <w:sz w:val="18"/>
          <w:lang w:val="zh-TW" w:eastAsia="zh-TW" w:bidi="zh-TW"/>
        </w:rPr>
        <w:t>申诉人对复查决定有异议的，在接到复查决定书之日起</w:t>
      </w:r>
      <w:r>
        <w:rPr>
          <w:color w:val="auto"/>
          <w:szCs w:val="20"/>
          <w:lang w:val="zh-TW" w:eastAsia="zh-TW" w:bidi="zh-TW"/>
        </w:rPr>
        <w:t>15</w:t>
      </w:r>
      <w:r>
        <w:rPr>
          <w:rFonts w:ascii="宋体" w:hAnsi="宋体"/>
          <w:color w:val="auto"/>
          <w:sz w:val="18"/>
          <w:lang w:val="zh-TW" w:eastAsia="zh-TW" w:bidi="zh-TW"/>
        </w:rPr>
        <w:t>个工作日内，可向江苏省教育厅提出书面申诉。</w:t>
      </w:r>
    </w:p>
    <w:p>
      <w:pPr>
        <w:spacing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第十六条</w:t>
      </w:r>
      <w:r>
        <w:rPr>
          <w:rFonts w:ascii="宋体" w:hAnsi="宋体"/>
          <w:color w:val="auto"/>
          <w:sz w:val="18"/>
          <w:lang w:val="zh-TW" w:eastAsia="zh-TW" w:bidi="zh-TW"/>
        </w:rPr>
        <w:t>申诉期间，原处理决定不停止执行。</w:t>
      </w:r>
    </w:p>
    <w:p>
      <w:pPr>
        <w:spacing w:after="380" w:line="304"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第十七条</w:t>
      </w:r>
      <w:r>
        <w:rPr>
          <w:rFonts w:ascii="宋体" w:hAnsi="宋体"/>
          <w:color w:val="auto"/>
          <w:sz w:val="18"/>
          <w:lang w:val="zh-TW" w:eastAsia="zh-TW" w:bidi="zh-TW"/>
        </w:rPr>
        <w:t>申诉人在申诉处理委员会未做出复查决定书前，可以撤回申诉。</w:t>
      </w:r>
    </w:p>
    <w:p>
      <w:pPr>
        <w:keepNext/>
        <w:keepLines/>
        <w:spacing w:after="320"/>
        <w:jc w:val="center"/>
        <w:outlineLvl w:val="1"/>
        <w:rPr>
          <w:rFonts w:ascii="宋体" w:hAnsi="宋体"/>
          <w:b/>
          <w:bCs/>
          <w:color w:val="auto"/>
          <w:sz w:val="28"/>
          <w:szCs w:val="28"/>
          <w:lang w:val="zh-TW" w:eastAsia="zh-TW" w:bidi="zh-TW"/>
        </w:rPr>
      </w:pPr>
      <w:bookmarkStart w:id="390" w:name="bookmark732"/>
      <w:bookmarkStart w:id="391" w:name="bookmark733"/>
      <w:bookmarkStart w:id="392" w:name="bookmark734"/>
      <w:r>
        <w:rPr>
          <w:rFonts w:ascii="宋体" w:hAnsi="宋体"/>
          <w:b/>
          <w:bCs/>
          <w:color w:val="auto"/>
          <w:sz w:val="28"/>
          <w:szCs w:val="28"/>
          <w:lang w:val="zh-TW" w:eastAsia="zh-TW" w:bidi="zh-TW"/>
        </w:rPr>
        <w:t>第四章听证</w:t>
      </w:r>
      <w:bookmarkEnd w:id="390"/>
      <w:bookmarkEnd w:id="391"/>
      <w:bookmarkEnd w:id="392"/>
    </w:p>
    <w:p>
      <w:pPr>
        <w:spacing w:line="299"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第十八条</w:t>
      </w:r>
      <w:r>
        <w:rPr>
          <w:rFonts w:ascii="宋体" w:hAnsi="宋体"/>
          <w:color w:val="auto"/>
          <w:sz w:val="18"/>
          <w:lang w:val="zh-TW" w:eastAsia="zh-TW" w:bidi="zh-TW"/>
        </w:rPr>
        <w:t>申诉处理委员会处理申诉事件在条件允许情况下可以采取公开听证的方式进行复查处理。</w:t>
      </w:r>
    </w:p>
    <w:p>
      <w:pPr>
        <w:spacing w:line="299"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第十九条</w:t>
      </w:r>
      <w:r>
        <w:rPr>
          <w:rFonts w:ascii="宋体" w:hAnsi="宋体"/>
          <w:color w:val="auto"/>
          <w:sz w:val="18"/>
          <w:lang w:val="zh-TW" w:eastAsia="zh-TW" w:bidi="zh-TW"/>
        </w:rPr>
        <w:t>听证会由申诉处理委员会委员主持，由作出处理或处分的部门和申诉人就事实、理由、证据或依据进行陈述和申辩，并可以出示相关证据材料；申诉处理委员会可以就有关证据进行询问。</w:t>
      </w:r>
    </w:p>
    <w:p>
      <w:pPr>
        <w:spacing w:after="320" w:line="299" w:lineRule="exact"/>
        <w:ind w:firstLine="420"/>
        <w:jc w:val="both"/>
        <w:rPr>
          <w:rFonts w:ascii="宋体" w:hAnsi="宋体"/>
          <w:color w:val="auto"/>
          <w:sz w:val="18"/>
          <w:lang w:val="zh-TW" w:eastAsia="zh-TW" w:bidi="zh-TW"/>
        </w:rPr>
      </w:pPr>
      <w:r>
        <w:rPr>
          <w:rFonts w:ascii="宋体" w:hAnsi="宋体"/>
          <w:b/>
          <w:bCs/>
          <w:color w:val="auto"/>
          <w:sz w:val="18"/>
          <w:lang w:val="zh-TW" w:eastAsia="zh-TW" w:bidi="zh-TW"/>
        </w:rPr>
        <w:t>第二十条</w:t>
      </w:r>
      <w:r>
        <w:rPr>
          <w:rFonts w:ascii="宋体" w:hAnsi="宋体"/>
          <w:color w:val="auto"/>
          <w:sz w:val="18"/>
          <w:lang w:val="zh-TW" w:eastAsia="zh-TW" w:bidi="zh-TW"/>
        </w:rPr>
        <w:t>听证结束后，由申诉处理委员会进行讨论，作出复查决定。</w:t>
      </w:r>
    </w:p>
    <w:p>
      <w:pPr>
        <w:keepNext/>
        <w:keepLines/>
        <w:spacing w:after="320"/>
        <w:jc w:val="center"/>
        <w:outlineLvl w:val="1"/>
        <w:rPr>
          <w:rFonts w:ascii="宋体" w:hAnsi="宋体"/>
          <w:b/>
          <w:bCs/>
          <w:color w:val="auto"/>
          <w:sz w:val="28"/>
          <w:szCs w:val="28"/>
          <w:lang w:val="zh-TW" w:eastAsia="zh-TW" w:bidi="zh-TW"/>
        </w:rPr>
      </w:pPr>
      <w:bookmarkStart w:id="393" w:name="bookmark737"/>
      <w:bookmarkStart w:id="394" w:name="bookmark735"/>
      <w:bookmarkStart w:id="395" w:name="bookmark736"/>
      <w:r>
        <w:rPr>
          <w:rFonts w:ascii="宋体" w:hAnsi="宋体"/>
          <w:b/>
          <w:bCs/>
          <w:color w:val="auto"/>
          <w:sz w:val="28"/>
          <w:szCs w:val="28"/>
          <w:lang w:val="zh-TW" w:eastAsia="zh-TW" w:bidi="zh-TW"/>
        </w:rPr>
        <w:t>第五章附则</w:t>
      </w:r>
      <w:bookmarkEnd w:id="393"/>
      <w:bookmarkEnd w:id="394"/>
      <w:bookmarkEnd w:id="395"/>
    </w:p>
    <w:p>
      <w:pPr>
        <w:spacing w:line="312" w:lineRule="exact"/>
        <w:ind w:firstLine="420"/>
        <w:rPr>
          <w:rFonts w:ascii="宋体" w:hAnsi="宋体"/>
          <w:color w:val="auto"/>
          <w:sz w:val="18"/>
          <w:lang w:val="zh-TW" w:eastAsia="zh-TW" w:bidi="zh-TW"/>
        </w:rPr>
      </w:pPr>
      <w:r>
        <w:rPr>
          <w:rFonts w:ascii="宋体" w:hAnsi="宋体"/>
          <w:b/>
          <w:bCs/>
          <w:color w:val="auto"/>
          <w:sz w:val="18"/>
          <w:lang w:val="zh-TW" w:eastAsia="zh-TW" w:bidi="zh-TW"/>
        </w:rPr>
        <w:t>第二十一条</w:t>
      </w:r>
      <w:r>
        <w:rPr>
          <w:rFonts w:ascii="宋体" w:hAnsi="宋体"/>
          <w:color w:val="auto"/>
          <w:sz w:val="18"/>
          <w:lang w:val="zh-TW" w:eastAsia="zh-TW" w:bidi="zh-TW"/>
        </w:rPr>
        <w:t>本办法上报江苏省教育厅备案。</w:t>
      </w:r>
    </w:p>
    <w:p>
      <w:pPr>
        <w:spacing w:line="312" w:lineRule="exact"/>
        <w:ind w:firstLine="420"/>
        <w:rPr>
          <w:rFonts w:ascii="宋体" w:hAnsi="宋体"/>
          <w:color w:val="auto"/>
          <w:sz w:val="18"/>
          <w:lang w:val="zh-TW" w:eastAsia="zh-TW" w:bidi="zh-TW"/>
        </w:rPr>
      </w:pPr>
      <w:r>
        <w:rPr>
          <w:rFonts w:ascii="宋体" w:hAnsi="宋体"/>
          <w:b/>
          <w:bCs/>
          <w:color w:val="auto"/>
          <w:sz w:val="18"/>
          <w:lang w:val="zh-TW" w:eastAsia="zh-TW" w:bidi="zh-TW"/>
        </w:rPr>
        <w:t>第二十二条</w:t>
      </w:r>
      <w:r>
        <w:rPr>
          <w:rFonts w:ascii="宋体" w:hAnsi="宋体"/>
          <w:color w:val="auto"/>
          <w:sz w:val="18"/>
          <w:lang w:val="zh-TW" w:eastAsia="zh-TW" w:bidi="zh-TW"/>
        </w:rPr>
        <w:t>本办法由学生申诉处理委员会负责解释。</w:t>
      </w:r>
    </w:p>
    <w:p>
      <w:pPr>
        <w:spacing w:line="312" w:lineRule="exact"/>
        <w:ind w:firstLine="420"/>
        <w:rPr>
          <w:rFonts w:ascii="宋体" w:hAnsi="宋体"/>
          <w:color w:val="auto"/>
          <w:sz w:val="18"/>
          <w:lang w:val="zh-TW" w:eastAsia="zh-CN" w:bidi="zh-TW"/>
        </w:rPr>
      </w:pPr>
      <w:r>
        <w:rPr>
          <w:rFonts w:ascii="宋体" w:hAnsi="宋体"/>
          <w:b/>
          <w:bCs/>
          <w:color w:val="auto"/>
          <w:sz w:val="18"/>
          <w:lang w:val="zh-TW" w:eastAsia="zh-TW" w:bidi="zh-TW"/>
        </w:rPr>
        <w:t>第二十三条</w:t>
      </w:r>
      <w:r>
        <w:rPr>
          <w:rFonts w:ascii="宋体" w:hAnsi="宋体"/>
          <w:color w:val="auto"/>
          <w:sz w:val="18"/>
          <w:lang w:val="zh-TW" w:eastAsia="zh-TW" w:bidi="zh-TW"/>
        </w:rPr>
        <w:t>本办法自颁布之日起执行，原《南京航空航天大学金城学院学生申诉管理办法》同时废止</w:t>
      </w:r>
      <w:r>
        <w:rPr>
          <w:rFonts w:hint="eastAsia" w:ascii="宋体" w:hAnsi="宋体"/>
          <w:color w:val="auto"/>
          <w:sz w:val="18"/>
          <w:lang w:val="zh-TW" w:eastAsia="zh-CN" w:bidi="zh-TW"/>
        </w:rPr>
        <w:t>。</w:t>
      </w:r>
    </w:p>
    <w:p>
      <w:pPr>
        <w:rPr>
          <w:rFonts w:ascii="宋体" w:hAnsi="宋体"/>
          <w:color w:val="auto"/>
          <w:sz w:val="18"/>
          <w:lang w:val="zh-TW" w:eastAsia="zh-CN" w:bidi="zh-TW"/>
        </w:rPr>
      </w:pPr>
      <w:r>
        <w:rPr>
          <w:rFonts w:ascii="宋体" w:hAnsi="宋体"/>
          <w:color w:val="auto"/>
          <w:sz w:val="18"/>
          <w:lang w:val="zh-TW" w:eastAsia="zh-CN" w:bidi="zh-TW"/>
        </w:rPr>
        <w:br w:type="page"/>
      </w:r>
    </w:p>
    <w:p>
      <w:pPr>
        <w:pStyle w:val="12"/>
        <w:keepNext/>
        <w:keepLines/>
        <w:spacing w:before="0" w:after="360" w:line="595" w:lineRule="exact"/>
        <w:rPr>
          <w:rFonts w:hint="eastAsia" w:eastAsia="宋体"/>
          <w:color w:val="auto"/>
          <w:highlight w:val="none"/>
          <w:lang w:eastAsia="zh-CN"/>
        </w:rPr>
      </w:pPr>
      <w:r>
        <w:rPr>
          <w:color w:val="auto"/>
          <w:highlight w:val="none"/>
        </w:rPr>
        <w:t>南京航空航天大学金城学院</w:t>
      </w:r>
      <w:r>
        <w:rPr>
          <w:color w:val="auto"/>
          <w:highlight w:val="none"/>
        </w:rPr>
        <w:br w:type="textWrapping"/>
      </w:r>
      <w:r>
        <w:rPr>
          <w:color w:val="auto"/>
          <w:highlight w:val="none"/>
        </w:rPr>
        <w:t>学杂费收缴管理规定</w:t>
      </w:r>
    </w:p>
    <w:p>
      <w:pPr>
        <w:pStyle w:val="14"/>
        <w:spacing w:line="298" w:lineRule="exact"/>
        <w:ind w:firstLine="420"/>
        <w:jc w:val="both"/>
        <w:rPr>
          <w:color w:val="auto"/>
        </w:rPr>
      </w:pPr>
      <w:r>
        <w:rPr>
          <w:color w:val="auto"/>
        </w:rPr>
        <w:t>根据《高等学校收费管理办法》、《高等学校学分制收费管理暂行办法》、《民办教育收费管理暂行办法》和学校《本科生学籍管理办法》规定，结合学校实际情况，特制定本规定。</w:t>
      </w:r>
    </w:p>
    <w:p>
      <w:pPr>
        <w:pStyle w:val="14"/>
        <w:spacing w:line="298" w:lineRule="exact"/>
        <w:ind w:firstLine="420"/>
        <w:jc w:val="both"/>
        <w:rPr>
          <w:color w:val="auto"/>
        </w:rPr>
      </w:pPr>
      <w:r>
        <w:rPr>
          <w:b/>
          <w:bCs/>
          <w:color w:val="auto"/>
          <w:lang w:val="zh-CN" w:eastAsia="zh-CN" w:bidi="zh-CN"/>
        </w:rPr>
        <w:t>第一条</w:t>
      </w:r>
      <w:r>
        <w:rPr>
          <w:rFonts w:hint="eastAsia"/>
          <w:color w:val="auto"/>
          <w:lang w:val="en-US" w:eastAsia="zh-CN" w:bidi="zh-CN"/>
        </w:rPr>
        <w:t xml:space="preserve"> </w:t>
      </w:r>
      <w:r>
        <w:rPr>
          <w:color w:val="auto"/>
        </w:rPr>
        <w:t>高等教育为非义务教育，学生必须承担接受教育的学杂费；按时足额缴费是每个学生应尽的义务，也是个人诚信的具体表现。</w:t>
      </w:r>
    </w:p>
    <w:p>
      <w:pPr>
        <w:pStyle w:val="14"/>
        <w:spacing w:line="298" w:lineRule="exact"/>
        <w:ind w:firstLine="420"/>
        <w:jc w:val="both"/>
        <w:rPr>
          <w:color w:val="auto"/>
        </w:rPr>
      </w:pPr>
      <w:r>
        <w:rPr>
          <w:b/>
          <w:bCs/>
          <w:color w:val="auto"/>
        </w:rPr>
        <w:t>第二条</w:t>
      </w:r>
      <w:r>
        <w:rPr>
          <w:rFonts w:hint="eastAsia"/>
          <w:color w:val="auto"/>
          <w:lang w:val="en-US" w:eastAsia="zh-CN"/>
        </w:rPr>
        <w:t xml:space="preserve"> </w:t>
      </w:r>
      <w:r>
        <w:rPr>
          <w:color w:val="auto"/>
        </w:rPr>
        <w:t>学校依法向物价主管部门和业务主管部门办理收费备案登记，并向学生公示收费项目和收费标准。</w:t>
      </w:r>
    </w:p>
    <w:p>
      <w:pPr>
        <w:pStyle w:val="14"/>
        <w:spacing w:line="298" w:lineRule="exact"/>
        <w:ind w:firstLine="420"/>
        <w:jc w:val="both"/>
        <w:rPr>
          <w:color w:val="auto"/>
        </w:rPr>
      </w:pPr>
      <w:r>
        <w:rPr>
          <w:b/>
          <w:bCs/>
          <w:color w:val="auto"/>
        </w:rPr>
        <w:t>第三条</w:t>
      </w:r>
      <w:r>
        <w:rPr>
          <w:rFonts w:hint="eastAsia"/>
          <w:color w:val="auto"/>
          <w:lang w:val="en-US" w:eastAsia="zh-CN"/>
        </w:rPr>
        <w:t xml:space="preserve"> </w:t>
      </w:r>
      <w:r>
        <w:rPr>
          <w:color w:val="auto"/>
        </w:rPr>
        <w:t>学校按学年收取学杂费，在每学年第一学期开学报到前收缴。</w:t>
      </w:r>
    </w:p>
    <w:p>
      <w:pPr>
        <w:pStyle w:val="14"/>
        <w:spacing w:line="302" w:lineRule="exact"/>
        <w:ind w:firstLine="420"/>
        <w:jc w:val="both"/>
        <w:rPr>
          <w:color w:val="auto"/>
        </w:rPr>
      </w:pPr>
      <w:r>
        <w:rPr>
          <w:b/>
          <w:bCs/>
          <w:color w:val="auto"/>
        </w:rPr>
        <w:t>第四条</w:t>
      </w:r>
      <w:r>
        <w:rPr>
          <w:rFonts w:hint="eastAsia"/>
          <w:b/>
          <w:bCs/>
          <w:color w:val="auto"/>
          <w:lang w:val="en-US" w:eastAsia="zh-CN"/>
        </w:rPr>
        <w:t xml:space="preserve"> </w:t>
      </w:r>
      <w:r>
        <w:rPr>
          <w:color w:val="auto"/>
        </w:rPr>
        <w:t>学杂费收缴程序和办法。</w:t>
      </w:r>
    </w:p>
    <w:p>
      <w:pPr>
        <w:pStyle w:val="14"/>
        <w:spacing w:line="302" w:lineRule="exact"/>
        <w:ind w:firstLine="420"/>
        <w:jc w:val="both"/>
        <w:rPr>
          <w:color w:val="auto"/>
        </w:rPr>
      </w:pPr>
      <w:r>
        <w:rPr>
          <w:rFonts w:hint="eastAsia"/>
          <w:color w:val="auto"/>
        </w:rPr>
        <w:t>在新学年开学前15天根据缴费通知在线上渠道进行缴费。或在新学年报到时，到学校财务处指定收费处，以刷卡的方式进行缴费。对于足额完费的学生，学校将统一办理注册，学生可通过本校微信公众号或南航金城学院官网自行查询和下载学杂费电子发票，作为完费凭证。</w:t>
      </w:r>
    </w:p>
    <w:p>
      <w:pPr>
        <w:pStyle w:val="14"/>
        <w:spacing w:line="302" w:lineRule="exact"/>
        <w:ind w:firstLine="420"/>
        <w:jc w:val="both"/>
        <w:rPr>
          <w:color w:val="auto"/>
        </w:rPr>
      </w:pPr>
      <w:r>
        <w:rPr>
          <w:b/>
          <w:bCs/>
          <w:color w:val="auto"/>
        </w:rPr>
        <w:t>第五条</w:t>
      </w:r>
      <w:r>
        <w:rPr>
          <w:rFonts w:hint="eastAsia"/>
          <w:b/>
          <w:bCs/>
          <w:color w:val="auto"/>
          <w:lang w:val="en-US" w:eastAsia="zh-CN"/>
        </w:rPr>
        <w:t xml:space="preserve"> </w:t>
      </w:r>
      <w:r>
        <w:rPr>
          <w:color w:val="auto"/>
        </w:rPr>
        <w:t>退、转、休学收缴费规定：</w:t>
      </w:r>
    </w:p>
    <w:p>
      <w:pPr>
        <w:pStyle w:val="14"/>
        <w:tabs>
          <w:tab w:val="left" w:pos="1074"/>
        </w:tabs>
        <w:spacing w:line="302" w:lineRule="exact"/>
        <w:ind w:firstLine="420"/>
        <w:jc w:val="both"/>
        <w:rPr>
          <w:color w:val="auto"/>
        </w:rPr>
      </w:pPr>
      <w:bookmarkStart w:id="396" w:name="bookmark743"/>
      <w:r>
        <w:rPr>
          <w:rFonts w:hint="eastAsia"/>
          <w:color w:val="auto"/>
        </w:rPr>
        <w:t>（一）专业学费和学分学费：依据《教育部国家发展改革委财政部关于进一步规范高校教育收费管理若干问题的通知》（教财[2006]2号）文件，学生缴纳学费后，因故退学、转学，根据实际学习时间，按每学年10个月计退剩余学费。在第一学期开学一周内完成相关手续的，全额退还已缴学费</w:t>
      </w:r>
      <w:r>
        <w:rPr>
          <w:rFonts w:hint="eastAsia"/>
          <w:color w:val="auto"/>
          <w:lang w:eastAsia="zh-CN"/>
        </w:rPr>
        <w:t>；</w:t>
      </w:r>
      <w:r>
        <w:rPr>
          <w:rFonts w:hint="eastAsia"/>
          <w:color w:val="auto"/>
        </w:rPr>
        <w:t>在第一学期开学一个月内完成退学手续的，退还已缴学费的90%</w:t>
      </w:r>
      <w:r>
        <w:rPr>
          <w:rFonts w:hint="eastAsia"/>
          <w:color w:val="auto"/>
          <w:lang w:eastAsia="zh-CN"/>
        </w:rPr>
        <w:t>；</w:t>
      </w:r>
      <w:r>
        <w:rPr>
          <w:rFonts w:hint="eastAsia"/>
          <w:color w:val="auto"/>
        </w:rPr>
        <w:t>在第一学期开学二个月内完成退学手续的，退还已缴学费的80%，依此类推。</w:t>
      </w:r>
    </w:p>
    <w:bookmarkEnd w:id="396"/>
    <w:p>
      <w:pPr>
        <w:pStyle w:val="14"/>
        <w:tabs>
          <w:tab w:val="left" w:pos="1074"/>
        </w:tabs>
        <w:spacing w:line="302" w:lineRule="exact"/>
        <w:ind w:firstLine="420"/>
        <w:jc w:val="both"/>
        <w:rPr>
          <w:color w:val="auto"/>
        </w:rPr>
      </w:pPr>
      <w:bookmarkStart w:id="397" w:name="bookmark744"/>
      <w:r>
        <w:rPr>
          <w:rFonts w:hint="eastAsia"/>
          <w:color w:val="auto"/>
        </w:rPr>
        <w:t>（二）住宿费：依据《教育部国家发展改革委财政部关于进一步规范高校教育收费管理若干问题的通知》（教财[2006]2号）文件，学生缴纳住宿费后，因故退学、转学，根据实际在校学习时间，按每学年10个月计退剩余的住宿费。在第一学期开学一周内完成相关手续的，全额退还已缴住宿费</w:t>
      </w:r>
      <w:r>
        <w:rPr>
          <w:rFonts w:hint="eastAsia"/>
          <w:color w:val="auto"/>
          <w:lang w:eastAsia="zh-CN"/>
        </w:rPr>
        <w:t>；</w:t>
      </w:r>
      <w:r>
        <w:rPr>
          <w:rFonts w:hint="eastAsia"/>
          <w:color w:val="auto"/>
        </w:rPr>
        <w:t>在第一学期开学一个月内完成相关手续的，退还已缴住宿费的90%</w:t>
      </w:r>
      <w:r>
        <w:rPr>
          <w:rFonts w:hint="eastAsia"/>
          <w:color w:val="auto"/>
          <w:lang w:eastAsia="zh-CN"/>
        </w:rPr>
        <w:t>；</w:t>
      </w:r>
      <w:r>
        <w:rPr>
          <w:rFonts w:hint="eastAsia"/>
          <w:color w:val="auto"/>
        </w:rPr>
        <w:t>在第一学期开学二个月内完成相关手续的，退还已缴住宿费的80%，依此类推。</w:t>
      </w:r>
    </w:p>
    <w:bookmarkEnd w:id="397"/>
    <w:p>
      <w:pPr>
        <w:pStyle w:val="14"/>
        <w:tabs>
          <w:tab w:val="left" w:pos="1074"/>
        </w:tabs>
        <w:spacing w:line="302" w:lineRule="exact"/>
        <w:ind w:firstLine="420"/>
        <w:jc w:val="both"/>
        <w:rPr>
          <w:color w:val="auto"/>
        </w:rPr>
      </w:pPr>
      <w:r>
        <w:rPr>
          <w:rFonts w:hint="eastAsia"/>
          <w:color w:val="auto"/>
        </w:rPr>
        <w:t>（三）学生休学期间，已交的学费、住宿费不退，次年休学期满复学时，不再收取学费、住宿费；如提前复学，应补缴差额住宿费，根据提前复学时间，按每学年10个月计算应补缴住宿费。提前一月内完成复学手续的，补缴住宿标准10%，提前两月内完成复学手续的，补缴住宿标准20%，依此类推。</w:t>
      </w:r>
    </w:p>
    <w:p>
      <w:pPr>
        <w:pStyle w:val="14"/>
        <w:tabs>
          <w:tab w:val="left" w:pos="1076"/>
        </w:tabs>
        <w:spacing w:line="302" w:lineRule="exact"/>
        <w:ind w:firstLine="420"/>
        <w:jc w:val="both"/>
        <w:rPr>
          <w:color w:val="auto"/>
        </w:rPr>
      </w:pPr>
      <w:bookmarkStart w:id="398" w:name="bookmark745"/>
      <w:r>
        <w:rPr>
          <w:color w:val="auto"/>
        </w:rPr>
        <w:t>（</w:t>
      </w:r>
      <w:bookmarkEnd w:id="398"/>
      <w:r>
        <w:rPr>
          <w:color w:val="auto"/>
        </w:rPr>
        <w:t>五）退（转）学时间以学校文件为准，在收到文件后</w:t>
      </w:r>
      <w:r>
        <w:rPr>
          <w:rFonts w:ascii="Times New Roman" w:hAnsi="Times New Roman" w:eastAsia="Times New Roman" w:cs="Times New Roman"/>
          <w:color w:val="auto"/>
          <w:sz w:val="20"/>
          <w:szCs w:val="20"/>
        </w:rPr>
        <w:t>5</w:t>
      </w:r>
      <w:r>
        <w:rPr>
          <w:color w:val="auto"/>
        </w:rPr>
        <w:t>个工作日内办理相关手续。</w:t>
      </w:r>
    </w:p>
    <w:p>
      <w:pPr>
        <w:pStyle w:val="14"/>
        <w:spacing w:line="302" w:lineRule="exact"/>
        <w:ind w:firstLine="420"/>
        <w:jc w:val="both"/>
        <w:rPr>
          <w:color w:val="auto"/>
        </w:rPr>
      </w:pPr>
      <w:r>
        <w:rPr>
          <w:b/>
          <w:bCs/>
          <w:color w:val="auto"/>
        </w:rPr>
        <w:t>第六条</w:t>
      </w:r>
      <w:r>
        <w:rPr>
          <w:rFonts w:hint="eastAsia"/>
          <w:b/>
          <w:bCs/>
          <w:color w:val="auto"/>
          <w:lang w:val="en-US" w:eastAsia="zh-CN"/>
        </w:rPr>
        <w:t xml:space="preserve"> </w:t>
      </w:r>
      <w:r>
        <w:rPr>
          <w:color w:val="auto"/>
        </w:rPr>
        <w:t>未完费处理规定：</w:t>
      </w:r>
    </w:p>
    <w:p>
      <w:pPr>
        <w:pStyle w:val="14"/>
        <w:spacing w:line="302" w:lineRule="exact"/>
        <w:ind w:firstLine="420"/>
        <w:jc w:val="both"/>
        <w:rPr>
          <w:color w:val="auto"/>
        </w:rPr>
      </w:pPr>
      <w:r>
        <w:rPr>
          <w:color w:val="auto"/>
        </w:rPr>
        <w:t>（</w:t>
      </w:r>
      <w:r>
        <w:rPr>
          <w:rFonts w:hint="eastAsia"/>
          <w:color w:val="auto"/>
        </w:rPr>
        <w:t>一</w:t>
      </w:r>
      <w:r>
        <w:rPr>
          <w:color w:val="auto"/>
        </w:rPr>
        <w:t>）不予注册：学生在新学期注册时，须出示完费凭证，对于不能提供完费凭证，又没有办理缓缴费手续的，则不予办理注册，不得参加相应的教学活动（详见《本科生学籍管理办法》第四条、《学生管理规定》第八条），不予办理休学，不予办理离校手续。</w:t>
      </w:r>
    </w:p>
    <w:p>
      <w:pPr>
        <w:pStyle w:val="14"/>
        <w:tabs>
          <w:tab w:val="left" w:pos="1054"/>
        </w:tabs>
        <w:spacing w:line="302" w:lineRule="exact"/>
        <w:ind w:firstLine="420"/>
        <w:jc w:val="both"/>
        <w:rPr>
          <w:color w:val="auto"/>
        </w:rPr>
      </w:pPr>
      <w:r>
        <w:rPr>
          <w:rFonts w:hint="eastAsia"/>
          <w:color w:val="auto"/>
        </w:rPr>
        <w:t>（二）</w:t>
      </w:r>
      <w:r>
        <w:rPr>
          <w:rFonts w:hint="eastAsia"/>
          <w:color w:val="auto"/>
        </w:rPr>
        <w:tab/>
      </w:r>
      <w:r>
        <w:rPr>
          <w:rFonts w:hint="eastAsia"/>
          <w:color w:val="auto"/>
        </w:rPr>
        <w:t>分期缓缴：经学校认定为家庭经济特困学生的，可由本人提交缓缴申请书，并按缓缴申请中写明的缴款计划进行分期缴付。对因不守信用未按期缴费的学生，在下一年度将不予办理缓缴费手续。</w:t>
      </w:r>
    </w:p>
    <w:p>
      <w:pPr>
        <w:pStyle w:val="14"/>
        <w:tabs>
          <w:tab w:val="left" w:pos="1057"/>
        </w:tabs>
        <w:spacing w:line="302" w:lineRule="exact"/>
        <w:ind w:firstLine="420"/>
        <w:jc w:val="both"/>
        <w:rPr>
          <w:color w:val="auto"/>
        </w:rPr>
      </w:pPr>
      <w:bookmarkStart w:id="399" w:name="bookmark747"/>
      <w:r>
        <w:rPr>
          <w:color w:val="auto"/>
        </w:rPr>
        <w:t>（</w:t>
      </w:r>
      <w:bookmarkEnd w:id="399"/>
      <w:r>
        <w:rPr>
          <w:color w:val="auto"/>
        </w:rPr>
        <w:t>三）</w:t>
      </w:r>
      <w:r>
        <w:rPr>
          <w:color w:val="auto"/>
        </w:rPr>
        <w:tab/>
      </w:r>
      <w:r>
        <w:rPr>
          <w:color w:val="auto"/>
        </w:rPr>
        <w:t>媒体公布：对于离校学生，经催收无效后，将通过媒体或网络，曝光其欠费行为。</w:t>
      </w:r>
    </w:p>
    <w:p>
      <w:pPr>
        <w:pStyle w:val="14"/>
        <w:tabs>
          <w:tab w:val="left" w:pos="1059"/>
        </w:tabs>
        <w:spacing w:line="302" w:lineRule="exact"/>
        <w:ind w:firstLine="420"/>
        <w:jc w:val="both"/>
        <w:rPr>
          <w:color w:val="auto"/>
        </w:rPr>
      </w:pPr>
      <w:bookmarkStart w:id="400" w:name="bookmark748"/>
      <w:r>
        <w:rPr>
          <w:color w:val="auto"/>
        </w:rPr>
        <w:t>（</w:t>
      </w:r>
      <w:bookmarkEnd w:id="400"/>
      <w:r>
        <w:rPr>
          <w:color w:val="auto"/>
        </w:rPr>
        <w:t>四）</w:t>
      </w:r>
      <w:r>
        <w:rPr>
          <w:color w:val="auto"/>
        </w:rPr>
        <w:tab/>
      </w:r>
      <w:r>
        <w:rPr>
          <w:color w:val="auto"/>
        </w:rPr>
        <w:t>依法追缴：对恶意欠费或超过还款期限的，学校将依法追缴，并按人民银行一年期贷款基准利率收取滞纳金。</w:t>
      </w:r>
    </w:p>
    <w:p>
      <w:pPr>
        <w:pStyle w:val="14"/>
        <w:spacing w:line="302" w:lineRule="exact"/>
        <w:ind w:firstLine="420"/>
        <w:jc w:val="both"/>
        <w:rPr>
          <w:color w:val="auto"/>
        </w:rPr>
      </w:pPr>
      <w:r>
        <w:rPr>
          <w:rFonts w:hint="eastAsia"/>
          <w:color w:val="auto"/>
        </w:rPr>
        <w:t>第七条 本规定自2022年9月1日起执行。</w:t>
      </w:r>
    </w:p>
    <w:p>
      <w:pPr>
        <w:pStyle w:val="14"/>
        <w:spacing w:line="302" w:lineRule="exact"/>
        <w:jc w:val="both"/>
        <w:rPr>
          <w:color w:val="auto"/>
        </w:rPr>
      </w:pPr>
      <w:r>
        <w:rPr>
          <w:color w:val="auto"/>
        </w:rPr>
        <w:t>第八条</w:t>
      </w:r>
      <w:r>
        <w:rPr>
          <w:rFonts w:hint="eastAsia"/>
          <w:color w:val="auto"/>
          <w:lang w:val="en-US" w:eastAsia="zh-CN"/>
        </w:rPr>
        <w:t xml:space="preserve"> </w:t>
      </w:r>
      <w:r>
        <w:rPr>
          <w:color w:val="auto"/>
        </w:rPr>
        <w:t>本规定由财务处负责解释。</w:t>
      </w:r>
    </w:p>
    <w:p>
      <w:pPr>
        <w:rPr>
          <w:rFonts w:ascii="宋体" w:hAnsi="宋体" w:eastAsia="PMingLiU"/>
          <w:color w:val="auto"/>
          <w:sz w:val="18"/>
          <w:lang w:val="zh-TW" w:eastAsia="zh-TW" w:bidi="zh-TW"/>
        </w:rPr>
      </w:pPr>
      <w:r>
        <w:rPr>
          <w:rFonts w:ascii="宋体" w:hAnsi="宋体"/>
          <w:color w:val="auto"/>
          <w:sz w:val="18"/>
          <w:lang w:val="zh-TW" w:eastAsia="zh-TW" w:bidi="zh-TW"/>
        </w:rPr>
        <w:br w:type="page"/>
      </w:r>
    </w:p>
    <w:p>
      <w:pPr>
        <w:keepNext/>
        <w:keepLines/>
        <w:spacing w:after="380" w:line="586" w:lineRule="exact"/>
        <w:jc w:val="center"/>
        <w:outlineLvl w:val="0"/>
        <w:rPr>
          <w:rFonts w:ascii="宋体" w:hAnsi="宋体"/>
          <w:color w:val="auto"/>
          <w:sz w:val="38"/>
          <w:szCs w:val="38"/>
          <w:highlight w:val="none"/>
          <w:lang w:val="zh-TW" w:eastAsia="zh-TW" w:bidi="zh-TW"/>
        </w:rPr>
      </w:pPr>
      <w:bookmarkStart w:id="401" w:name="bookmark749"/>
      <w:bookmarkStart w:id="402" w:name="bookmark751"/>
      <w:bookmarkStart w:id="403" w:name="bookmark750"/>
      <w:bookmarkStart w:id="404" w:name="bookmark752"/>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学生证、校徽管理办法</w:t>
      </w:r>
      <w:bookmarkEnd w:id="401"/>
      <w:bookmarkEnd w:id="402"/>
      <w:bookmarkEnd w:id="403"/>
    </w:p>
    <w:p>
      <w:pPr>
        <w:spacing w:line="300"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一</w:t>
      </w:r>
      <w:bookmarkEnd w:id="404"/>
      <w:r>
        <w:rPr>
          <w:rFonts w:ascii="宋体" w:hAnsi="宋体"/>
          <w:color w:val="auto"/>
          <w:sz w:val="18"/>
          <w:lang w:val="zh-TW" w:eastAsia="zh-TW" w:bidi="zh-TW"/>
        </w:rPr>
        <w:t>、我校学生的学生证、校徽，由学生工作处统一发放管理。新生入学报到注册后，以班级为单位集中办理学生证。</w:t>
      </w:r>
    </w:p>
    <w:p>
      <w:pPr>
        <w:spacing w:line="300" w:lineRule="exact"/>
        <w:ind w:firstLine="420"/>
        <w:jc w:val="both"/>
        <w:rPr>
          <w:rFonts w:ascii="宋体" w:hAnsi="宋体"/>
          <w:color w:val="auto"/>
          <w:sz w:val="18"/>
          <w:lang w:val="zh-TW" w:eastAsia="zh-TW" w:bidi="zh-TW"/>
        </w:rPr>
      </w:pPr>
      <w:bookmarkStart w:id="405" w:name="bookmark753"/>
      <w:r>
        <w:rPr>
          <w:rFonts w:ascii="宋体" w:hAnsi="宋体"/>
          <w:color w:val="auto"/>
          <w:sz w:val="18"/>
          <w:lang w:val="zh-TW" w:eastAsia="zh-TW" w:bidi="zh-TW"/>
        </w:rPr>
        <w:t>二</w:t>
      </w:r>
      <w:bookmarkEnd w:id="405"/>
      <w:r>
        <w:rPr>
          <w:rFonts w:ascii="宋体" w:hAnsi="宋体"/>
          <w:color w:val="auto"/>
          <w:sz w:val="18"/>
          <w:lang w:val="zh-TW" w:eastAsia="zh-TW" w:bidi="zh-TW"/>
        </w:rPr>
        <w:t>、学生证和校徽是学生的身份证件和标志，必须妥善保管，严防丢失，不得涂改、转借或转让，违章使用学生证、校徽者，视情节给予批评教育或行政处分。</w:t>
      </w:r>
    </w:p>
    <w:p>
      <w:pPr>
        <w:spacing w:line="300" w:lineRule="exact"/>
        <w:ind w:firstLine="420"/>
        <w:jc w:val="both"/>
        <w:rPr>
          <w:rFonts w:ascii="宋体" w:hAnsi="宋体"/>
          <w:color w:val="auto"/>
          <w:sz w:val="18"/>
          <w:lang w:val="zh-TW" w:eastAsia="zh-TW" w:bidi="zh-TW"/>
        </w:rPr>
      </w:pPr>
      <w:bookmarkStart w:id="406" w:name="bookmark754"/>
      <w:r>
        <w:rPr>
          <w:rFonts w:ascii="宋体" w:hAnsi="宋体"/>
          <w:color w:val="auto"/>
          <w:sz w:val="18"/>
          <w:lang w:val="zh-TW" w:eastAsia="zh-TW" w:bidi="zh-TW"/>
        </w:rPr>
        <w:t>三</w:t>
      </w:r>
      <w:bookmarkEnd w:id="406"/>
      <w:r>
        <w:rPr>
          <w:rFonts w:ascii="宋体" w:hAnsi="宋体"/>
          <w:color w:val="auto"/>
          <w:sz w:val="18"/>
          <w:lang w:val="zh-TW" w:eastAsia="zh-TW" w:bidi="zh-TW"/>
        </w:rPr>
        <w:t>、学生在每学期开学时，将学生证统一上交到辅导员处，由辅导员集中到学院在学生证注册栏内加盖注册章，未盖章注册的学生证均视为无效。</w:t>
      </w:r>
    </w:p>
    <w:p>
      <w:pPr>
        <w:spacing w:line="300" w:lineRule="exact"/>
        <w:ind w:firstLine="420"/>
        <w:jc w:val="both"/>
        <w:rPr>
          <w:rFonts w:ascii="宋体" w:hAnsi="宋体"/>
          <w:color w:val="auto"/>
          <w:sz w:val="18"/>
          <w:lang w:val="zh-TW" w:eastAsia="zh-TW" w:bidi="zh-TW"/>
        </w:rPr>
      </w:pPr>
      <w:bookmarkStart w:id="407" w:name="bookmark755"/>
      <w:r>
        <w:rPr>
          <w:rFonts w:ascii="宋体" w:hAnsi="宋体"/>
          <w:color w:val="auto"/>
          <w:sz w:val="18"/>
          <w:shd w:val="clear" w:color="auto" w:fill="FFFFFF"/>
          <w:lang w:val="zh-TW" w:eastAsia="zh-TW" w:bidi="zh-TW"/>
        </w:rPr>
        <w:t>四</w:t>
      </w:r>
      <w:bookmarkEnd w:id="407"/>
      <w:r>
        <w:rPr>
          <w:rFonts w:ascii="宋体" w:hAnsi="宋体"/>
          <w:color w:val="auto"/>
          <w:sz w:val="18"/>
          <w:shd w:val="clear" w:color="auto" w:fill="FFFFFF"/>
          <w:lang w:val="zh-TW" w:eastAsia="zh-TW" w:bidi="zh-TW"/>
        </w:rPr>
        <w:t>、需要办理火车票学生优惠卡的学生以班级为单位向学生工作处购买火车票优惠卡，凭优惠卡每年享受</w:t>
      </w:r>
      <w:r>
        <w:rPr>
          <w:color w:val="auto"/>
          <w:szCs w:val="20"/>
          <w:shd w:val="clear" w:color="auto" w:fill="FFFFFF"/>
          <w:lang w:val="zh-TW" w:eastAsia="zh-TW" w:bidi="zh-TW"/>
        </w:rPr>
        <w:t>4</w:t>
      </w:r>
      <w:r>
        <w:rPr>
          <w:rFonts w:ascii="宋体" w:hAnsi="宋体"/>
          <w:color w:val="auto"/>
          <w:sz w:val="18"/>
          <w:shd w:val="clear" w:color="auto" w:fill="FFFFFF"/>
          <w:lang w:val="zh-TW" w:eastAsia="zh-TW" w:bidi="zh-TW"/>
        </w:rPr>
        <w:t>次（</w:t>
      </w:r>
      <w:r>
        <w:rPr>
          <w:color w:val="auto"/>
          <w:szCs w:val="20"/>
          <w:shd w:val="clear" w:color="auto" w:fill="FFFFFF"/>
          <w:lang w:val="zh-TW" w:eastAsia="zh-TW" w:bidi="zh-TW"/>
        </w:rPr>
        <w:t>2</w:t>
      </w:r>
      <w:r>
        <w:rPr>
          <w:rFonts w:hint="eastAsia" w:ascii="宋体" w:hAnsi="宋体"/>
          <w:color w:val="auto"/>
          <w:sz w:val="18"/>
          <w:shd w:val="clear" w:color="auto" w:fill="FFFFFF"/>
          <w:lang w:val="zh-TW" w:eastAsia="zh-TW" w:bidi="zh-TW"/>
        </w:rPr>
        <w:t>趟）半</w:t>
      </w:r>
      <w:r>
        <w:rPr>
          <w:rFonts w:ascii="宋体" w:hAnsi="宋体"/>
          <w:color w:val="auto"/>
          <w:sz w:val="18"/>
          <w:shd w:val="clear" w:color="auto" w:fill="FFFFFF"/>
          <w:lang w:val="zh-TW" w:eastAsia="zh-TW" w:bidi="zh-TW"/>
        </w:rPr>
        <w:t>价优惠。乘车区间填写户籍所在地车站，不得随意填写或涂改。</w:t>
      </w:r>
      <w:bookmarkStart w:id="408" w:name="bookmark756"/>
    </w:p>
    <w:p>
      <w:pPr>
        <w:tabs>
          <w:tab w:val="left" w:pos="939"/>
        </w:tabs>
        <w:spacing w:line="300" w:lineRule="exact"/>
        <w:ind w:firstLine="420"/>
        <w:jc w:val="both"/>
        <w:rPr>
          <w:rFonts w:asciiTheme="minorEastAsia" w:hAnsiTheme="minorEastAsia"/>
          <w:color w:val="auto"/>
          <w:sz w:val="18"/>
          <w:lang w:val="zh-TW" w:eastAsia="zh-TW" w:bidi="zh-TW"/>
        </w:rPr>
      </w:pPr>
      <w:r>
        <w:rPr>
          <w:rFonts w:ascii="宋体" w:hAnsi="宋体"/>
          <w:color w:val="auto"/>
          <w:sz w:val="18"/>
          <w:lang w:val="zh-TW" w:eastAsia="zh-TW" w:bidi="zh-TW"/>
        </w:rPr>
        <w:t>五</w:t>
      </w:r>
      <w:bookmarkEnd w:id="408"/>
      <w:r>
        <w:rPr>
          <w:rFonts w:hint="eastAsia" w:asciiTheme="minorEastAsia" w:hAnsiTheme="minorEastAsia"/>
          <w:color w:val="auto"/>
          <w:sz w:val="18"/>
          <w:lang w:val="zh-TW" w:eastAsia="zh-TW" w:bidi="zh-TW"/>
        </w:rPr>
        <w:t>、</w:t>
      </w:r>
      <w:r>
        <w:rPr>
          <w:rFonts w:ascii="宋体" w:hAnsi="宋体"/>
          <w:color w:val="auto"/>
          <w:sz w:val="18"/>
          <w:lang w:val="zh-TW" w:eastAsia="zh-TW" w:bidi="zh-TW"/>
        </w:rPr>
        <w:t>学生持贴有优惠卡的学生证购买火车票；车站售票处通过识别仪器售票并划减购票次数；车站、火车上用识别仪读取优惠卡内容查验车票。</w:t>
      </w:r>
    </w:p>
    <w:p>
      <w:pPr>
        <w:spacing w:line="300" w:lineRule="exact"/>
        <w:ind w:firstLine="420"/>
        <w:jc w:val="both"/>
        <w:rPr>
          <w:rFonts w:ascii="宋体" w:hAnsi="宋体"/>
          <w:color w:val="auto"/>
          <w:sz w:val="18"/>
          <w:lang w:val="zh-TW" w:eastAsia="zh-TW" w:bidi="zh-TW"/>
        </w:rPr>
      </w:pPr>
      <w:bookmarkStart w:id="409" w:name="bookmark757"/>
      <w:r>
        <w:rPr>
          <w:rFonts w:ascii="宋体" w:hAnsi="宋体"/>
          <w:color w:val="auto"/>
          <w:sz w:val="18"/>
          <w:lang w:val="zh-TW" w:eastAsia="zh-TW" w:bidi="zh-TW"/>
        </w:rPr>
        <w:t>六</w:t>
      </w:r>
      <w:bookmarkEnd w:id="409"/>
      <w:r>
        <w:rPr>
          <w:rFonts w:ascii="宋体" w:hAnsi="宋体"/>
          <w:color w:val="auto"/>
          <w:sz w:val="18"/>
          <w:lang w:val="zh-TW" w:eastAsia="zh-TW" w:bidi="zh-TW"/>
        </w:rPr>
        <w:t>、学生因家庭地址变更，须改变乘火车区间者，必须交验家长工作单位或家庭所在地派出所的书面证明，经辅导员签字确认、学生工作处核准后方可办理变更手续。</w:t>
      </w:r>
    </w:p>
    <w:p>
      <w:pPr>
        <w:spacing w:line="300" w:lineRule="exact"/>
        <w:ind w:firstLine="420"/>
        <w:jc w:val="both"/>
        <w:rPr>
          <w:rFonts w:ascii="宋体" w:hAnsi="宋体"/>
          <w:color w:val="auto"/>
          <w:sz w:val="18"/>
          <w:lang w:val="zh-TW" w:eastAsia="zh-TW" w:bidi="zh-TW"/>
        </w:rPr>
      </w:pPr>
      <w:bookmarkStart w:id="410" w:name="bookmark758"/>
      <w:r>
        <w:rPr>
          <w:rFonts w:ascii="宋体" w:hAnsi="宋体"/>
          <w:color w:val="auto"/>
          <w:sz w:val="18"/>
          <w:lang w:val="zh-TW" w:eastAsia="zh-TW" w:bidi="zh-TW"/>
        </w:rPr>
        <w:t>七</w:t>
      </w:r>
      <w:bookmarkEnd w:id="410"/>
      <w:r>
        <w:rPr>
          <w:rFonts w:ascii="宋体" w:hAnsi="宋体"/>
          <w:color w:val="auto"/>
          <w:sz w:val="18"/>
          <w:lang w:val="zh-TW" w:eastAsia="zh-TW" w:bidi="zh-TW"/>
        </w:rPr>
        <w:t>、学生证、校徽补办程序：</w:t>
      </w:r>
    </w:p>
    <w:p>
      <w:pPr>
        <w:tabs>
          <w:tab w:val="left" w:pos="771"/>
        </w:tabs>
        <w:spacing w:line="300" w:lineRule="exact"/>
        <w:ind w:firstLine="360" w:firstLineChars="200"/>
        <w:jc w:val="both"/>
        <w:rPr>
          <w:rFonts w:ascii="宋体" w:hAnsi="宋体"/>
          <w:color w:val="auto"/>
          <w:sz w:val="18"/>
          <w:lang w:val="zh-TW" w:eastAsia="zh-TW" w:bidi="zh-TW"/>
        </w:rPr>
      </w:pPr>
      <w:bookmarkStart w:id="411" w:name="bookmark759"/>
      <w:bookmarkEnd w:id="411"/>
      <w:r>
        <w:rPr>
          <w:rFonts w:hint="eastAsia" w:ascii="宋体" w:hAnsi="宋体"/>
          <w:color w:val="auto"/>
          <w:sz w:val="18"/>
          <w:lang w:val="zh-TW" w:eastAsia="zh-TW" w:bidi="zh-TW"/>
        </w:rPr>
        <w:t>１</w:t>
      </w:r>
      <w:r>
        <w:rPr>
          <w:rFonts w:hint="eastAsia" w:ascii="宋体" w:hAnsi="宋体"/>
          <w:color w:val="auto"/>
          <w:sz w:val="18"/>
          <w:lang w:val="zh-TW" w:eastAsia="zh-CN" w:bidi="zh-TW"/>
        </w:rPr>
        <w:t>.</w:t>
      </w:r>
      <w:r>
        <w:rPr>
          <w:rFonts w:ascii="宋体" w:hAnsi="宋体"/>
          <w:color w:val="auto"/>
          <w:sz w:val="18"/>
          <w:lang w:val="zh-TW" w:eastAsia="zh-TW" w:bidi="zh-TW"/>
        </w:rPr>
        <w:t>学生证遗失，须到《南京日报》、《扬子晚报》、《新华日报》等市级以上公开发行的报纸刊登遗失启事（学生证破损换证无须挂失），未按规定办理挂失手续者，造成后果由本人负责；</w:t>
      </w:r>
    </w:p>
    <w:p>
      <w:pPr>
        <w:tabs>
          <w:tab w:val="left" w:pos="766"/>
        </w:tabs>
        <w:spacing w:after="80" w:line="305" w:lineRule="exact"/>
        <w:ind w:firstLine="360" w:firstLineChars="200"/>
        <w:jc w:val="both"/>
        <w:rPr>
          <w:rFonts w:ascii="宋体" w:hAnsi="宋体"/>
          <w:color w:val="auto"/>
          <w:sz w:val="18"/>
          <w:lang w:val="zh-TW" w:eastAsia="zh-TW" w:bidi="zh-TW"/>
        </w:rPr>
      </w:pPr>
      <w:bookmarkStart w:id="412" w:name="bookmark760"/>
      <w:bookmarkEnd w:id="412"/>
      <w:r>
        <w:rPr>
          <w:rFonts w:hint="eastAsia" w:ascii="宋体" w:hAnsi="宋体"/>
          <w:color w:val="auto"/>
          <w:sz w:val="18"/>
          <w:lang w:val="zh-TW" w:eastAsia="zh-TW" w:bidi="zh-TW"/>
        </w:rPr>
        <w:t>２.</w:t>
      </w:r>
      <w:r>
        <w:rPr>
          <w:rFonts w:ascii="宋体" w:hAnsi="宋体"/>
          <w:color w:val="auto"/>
          <w:sz w:val="18"/>
          <w:lang w:val="zh-TW" w:eastAsia="zh-TW" w:bidi="zh-TW"/>
        </w:rPr>
        <w:t>持登报挂失发票及一寸标准照片，至辅导员处审核并开取相关证明，学院签章后，每周一至周五到学生日常事务服务大厅补办学生证；</w:t>
      </w:r>
    </w:p>
    <w:p>
      <w:pPr>
        <w:tabs>
          <w:tab w:val="left" w:pos="764"/>
        </w:tabs>
        <w:spacing w:line="319" w:lineRule="auto"/>
        <w:ind w:left="420"/>
        <w:jc w:val="both"/>
        <w:rPr>
          <w:rFonts w:ascii="宋体" w:hAnsi="宋体"/>
          <w:color w:val="auto"/>
          <w:sz w:val="18"/>
          <w:lang w:val="zh-TW" w:eastAsia="zh-TW" w:bidi="zh-TW"/>
        </w:rPr>
      </w:pPr>
      <w:bookmarkStart w:id="413" w:name="bookmark761"/>
      <w:bookmarkEnd w:id="413"/>
      <w:r>
        <w:rPr>
          <w:rFonts w:hint="eastAsia" w:ascii="宋体" w:hAnsi="宋体"/>
          <w:color w:val="auto"/>
          <w:sz w:val="18"/>
          <w:lang w:val="zh-TW" w:eastAsia="zh-TW" w:bidi="zh-TW"/>
        </w:rPr>
        <w:t>３</w:t>
      </w:r>
      <w:r>
        <w:rPr>
          <w:rFonts w:ascii="宋体" w:hAnsi="宋体"/>
          <w:color w:val="auto"/>
          <w:sz w:val="18"/>
          <w:lang w:val="zh-TW" w:eastAsia="zh-TW" w:bidi="zh-TW"/>
        </w:rPr>
        <w:t>.补办的学生证在下周一同一地点领取；</w:t>
      </w:r>
    </w:p>
    <w:p>
      <w:pPr>
        <w:tabs>
          <w:tab w:val="left" w:pos="769"/>
        </w:tabs>
        <w:spacing w:line="319" w:lineRule="auto"/>
        <w:ind w:left="420"/>
        <w:jc w:val="both"/>
        <w:rPr>
          <w:rFonts w:ascii="宋体" w:hAnsi="宋体"/>
          <w:color w:val="auto"/>
          <w:sz w:val="18"/>
          <w:lang w:val="zh-TW" w:eastAsia="zh-TW" w:bidi="zh-TW"/>
        </w:rPr>
      </w:pPr>
      <w:bookmarkStart w:id="414" w:name="bookmark762"/>
      <w:bookmarkEnd w:id="414"/>
      <w:r>
        <w:rPr>
          <w:rFonts w:hint="eastAsia" w:ascii="宋体" w:hAnsi="宋体"/>
          <w:color w:val="auto"/>
          <w:sz w:val="18"/>
          <w:lang w:val="zh-TW" w:eastAsia="zh-TW" w:bidi="zh-TW"/>
        </w:rPr>
        <w:t>４.</w:t>
      </w:r>
      <w:r>
        <w:rPr>
          <w:rFonts w:ascii="宋体" w:hAnsi="宋体"/>
          <w:color w:val="auto"/>
          <w:sz w:val="18"/>
          <w:lang w:val="zh-TW" w:eastAsia="zh-TW" w:bidi="zh-TW"/>
        </w:rPr>
        <w:t>学生证办好后须到学院注册；</w:t>
      </w:r>
    </w:p>
    <w:p>
      <w:pPr>
        <w:tabs>
          <w:tab w:val="left" w:pos="769"/>
        </w:tabs>
        <w:spacing w:line="319" w:lineRule="auto"/>
        <w:ind w:left="420"/>
        <w:jc w:val="both"/>
        <w:rPr>
          <w:rFonts w:ascii="宋体" w:hAnsi="宋体"/>
          <w:color w:val="auto"/>
          <w:sz w:val="18"/>
          <w:lang w:val="zh-TW" w:eastAsia="zh-TW" w:bidi="zh-TW"/>
        </w:rPr>
      </w:pPr>
      <w:bookmarkStart w:id="415" w:name="bookmark763"/>
      <w:bookmarkEnd w:id="415"/>
      <w:r>
        <w:rPr>
          <w:rFonts w:hint="eastAsia" w:ascii="宋体" w:hAnsi="宋体"/>
          <w:color w:val="auto"/>
          <w:sz w:val="18"/>
          <w:lang w:val="zh-TW" w:eastAsia="zh-TW" w:bidi="zh-TW"/>
        </w:rPr>
        <w:t>５</w:t>
      </w:r>
      <w:r>
        <w:rPr>
          <w:rFonts w:ascii="宋体" w:hAnsi="宋体"/>
          <w:color w:val="auto"/>
          <w:sz w:val="18"/>
          <w:lang w:val="zh-TW" w:eastAsia="zh-TW" w:bidi="zh-TW"/>
        </w:rPr>
        <w:t>.遗失校徽的学生凭学生证于每周一至周五到学生</w:t>
      </w:r>
      <w:r>
        <w:rPr>
          <w:rFonts w:hint="eastAsia" w:ascii="宋体" w:hAnsi="宋体"/>
          <w:color w:val="auto"/>
          <w:sz w:val="18"/>
          <w:lang w:val="zh-TW" w:eastAsia="zh-TW" w:bidi="zh-TW"/>
        </w:rPr>
        <w:t>日常</w:t>
      </w:r>
      <w:r>
        <w:rPr>
          <w:rFonts w:ascii="宋体" w:hAnsi="宋体"/>
          <w:color w:val="auto"/>
          <w:sz w:val="18"/>
          <w:lang w:val="zh-TW" w:eastAsia="zh-TW" w:bidi="zh-TW"/>
        </w:rPr>
        <w:t>事务服务大厅补办校徽；</w:t>
      </w:r>
    </w:p>
    <w:p>
      <w:pPr>
        <w:tabs>
          <w:tab w:val="left" w:pos="769"/>
        </w:tabs>
        <w:spacing w:line="305" w:lineRule="exact"/>
        <w:ind w:left="420"/>
        <w:jc w:val="both"/>
        <w:rPr>
          <w:rFonts w:ascii="宋体" w:hAnsi="宋体"/>
          <w:color w:val="auto"/>
          <w:sz w:val="18"/>
          <w:lang w:val="zh-TW" w:eastAsia="zh-TW" w:bidi="zh-TW"/>
        </w:rPr>
      </w:pPr>
      <w:bookmarkStart w:id="416" w:name="bookmark764"/>
      <w:bookmarkEnd w:id="416"/>
      <w:r>
        <w:rPr>
          <w:rFonts w:hint="eastAsia" w:ascii="宋体" w:hAnsi="宋体"/>
          <w:color w:val="auto"/>
          <w:sz w:val="18"/>
          <w:lang w:val="zh-TW" w:eastAsia="zh-TW" w:bidi="zh-TW"/>
        </w:rPr>
        <w:t>６.</w:t>
      </w:r>
      <w:r>
        <w:rPr>
          <w:rFonts w:ascii="宋体" w:hAnsi="宋体"/>
          <w:color w:val="auto"/>
          <w:sz w:val="18"/>
          <w:lang w:val="zh-TW" w:eastAsia="zh-TW" w:bidi="zh-TW"/>
        </w:rPr>
        <w:t>补发新证、校徽和办理火车票半价优惠卡需交纳成本费。</w:t>
      </w:r>
    </w:p>
    <w:p>
      <w:pPr>
        <w:spacing w:line="305" w:lineRule="exact"/>
        <w:ind w:firstLine="420"/>
        <w:jc w:val="both"/>
        <w:rPr>
          <w:rFonts w:ascii="宋体" w:hAnsi="宋体"/>
          <w:color w:val="auto"/>
          <w:sz w:val="18"/>
          <w:lang w:val="zh-TW" w:eastAsia="zh-TW" w:bidi="zh-TW"/>
        </w:rPr>
      </w:pPr>
      <w:bookmarkStart w:id="417" w:name="bookmark765"/>
      <w:r>
        <w:rPr>
          <w:rFonts w:ascii="宋体" w:hAnsi="宋体"/>
          <w:color w:val="auto"/>
          <w:sz w:val="18"/>
          <w:lang w:val="zh-TW" w:eastAsia="zh-TW" w:bidi="zh-TW"/>
        </w:rPr>
        <w:t>八</w:t>
      </w:r>
      <w:bookmarkEnd w:id="417"/>
      <w:r>
        <w:rPr>
          <w:rFonts w:ascii="宋体" w:hAnsi="宋体"/>
          <w:color w:val="auto"/>
          <w:sz w:val="18"/>
          <w:lang w:val="zh-TW" w:eastAsia="zh-TW" w:bidi="zh-TW"/>
        </w:rPr>
        <w:t>、学生毕业离校前和中途退、转学者，需上交或注销学生证、校徽，遗失者给予罚款处理。</w:t>
      </w:r>
    </w:p>
    <w:p>
      <w:pPr>
        <w:spacing w:line="305" w:lineRule="exact"/>
        <w:ind w:firstLine="420"/>
        <w:jc w:val="both"/>
        <w:rPr>
          <w:rFonts w:ascii="宋体" w:hAnsi="宋体"/>
          <w:color w:val="auto"/>
          <w:sz w:val="18"/>
          <w:lang w:val="zh-TW" w:eastAsia="zh-TW" w:bidi="zh-TW"/>
        </w:rPr>
        <w:sectPr>
          <w:headerReference r:id="rId38" w:type="first"/>
          <w:footerReference r:id="rId41" w:type="first"/>
          <w:headerReference r:id="rId36" w:type="default"/>
          <w:footerReference r:id="rId39" w:type="default"/>
          <w:headerReference r:id="rId37" w:type="even"/>
          <w:footerReference r:id="rId40" w:type="even"/>
          <w:pgSz w:w="9800" w:h="15120"/>
          <w:pgMar w:top="1043" w:right="652" w:bottom="987" w:left="663" w:header="0" w:footer="3" w:gutter="0"/>
          <w:pgNumType w:fmt="decimal"/>
          <w:cols w:space="720" w:num="1"/>
          <w:titlePg/>
          <w:docGrid w:linePitch="360" w:charSpace="0"/>
        </w:sectPr>
      </w:pPr>
      <w:bookmarkStart w:id="418" w:name="bookmark766"/>
      <w:r>
        <w:rPr>
          <w:rFonts w:ascii="宋体" w:hAnsi="宋体"/>
          <w:color w:val="auto"/>
          <w:sz w:val="18"/>
          <w:lang w:val="zh-TW" w:eastAsia="zh-TW" w:bidi="zh-TW"/>
        </w:rPr>
        <w:t>九</w:t>
      </w:r>
      <w:bookmarkEnd w:id="418"/>
      <w:r>
        <w:rPr>
          <w:rFonts w:ascii="宋体" w:hAnsi="宋体"/>
          <w:color w:val="auto"/>
          <w:sz w:val="18"/>
          <w:lang w:val="zh-TW" w:eastAsia="zh-TW" w:bidi="zh-TW"/>
        </w:rPr>
        <w:t>、本办法由学生工作处负责解释。</w:t>
      </w:r>
    </w:p>
    <w:p>
      <w:pPr>
        <w:keepNext/>
        <w:keepLines/>
        <w:spacing w:before="820" w:after="420" w:line="586" w:lineRule="exact"/>
        <w:jc w:val="center"/>
        <w:outlineLvl w:val="0"/>
        <w:rPr>
          <w:rFonts w:ascii="宋体" w:hAnsi="宋体"/>
          <w:color w:val="auto"/>
          <w:sz w:val="38"/>
          <w:szCs w:val="38"/>
          <w:highlight w:val="none"/>
          <w:lang w:val="zh-TW" w:eastAsia="zh-TW" w:bidi="zh-TW"/>
        </w:rPr>
      </w:pPr>
      <w:bookmarkStart w:id="419" w:name="bookmark769"/>
      <w:bookmarkStart w:id="420" w:name="bookmark768"/>
      <w:bookmarkStart w:id="421" w:name="bookmark767"/>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学生公寓管理办法</w:t>
      </w:r>
      <w:bookmarkEnd w:id="419"/>
      <w:bookmarkEnd w:id="420"/>
      <w:bookmarkEnd w:id="421"/>
    </w:p>
    <w:p>
      <w:pPr>
        <w:spacing w:line="269"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为了加强南京航空航天大学金城学院学生公寓的管理，保证学生在校学习期间能有一个良好的学习、生活环境，特制定本管理办法。</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第一条南京航空航天大学金城学院</w:t>
      </w:r>
      <w:r>
        <w:rPr>
          <w:rFonts w:hint="eastAsia" w:ascii="宋体" w:hAnsi="宋体"/>
          <w:color w:val="auto"/>
          <w:sz w:val="18"/>
          <w:lang w:eastAsia="zh-CN" w:bidi="zh-TW"/>
        </w:rPr>
        <w:t>后勤保卫处</w:t>
      </w:r>
      <w:r>
        <w:rPr>
          <w:rFonts w:ascii="宋体" w:hAnsi="宋体"/>
          <w:color w:val="auto"/>
          <w:sz w:val="18"/>
          <w:lang w:val="zh-TW" w:eastAsia="zh-TW" w:bidi="zh-TW"/>
        </w:rPr>
        <w:t>是南京航空航天大学金城学院学生公寓管理的专门机构，全面负责学生公寓的计划，配合学校有关部门做好学生公寓的维修、安全保卫、生活秩序维持等服务与管理工作；学生工作处负责学生公寓的安排、调配。</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第二条南京航空航天大学金城学院的学生都必须服从公寓管理人员的管理，自觉遵守学生公寓的各项管理制度，把公寓作为陶冶情操、培养文明习惯的场所，为争创文明寝室及文明个人而努力。</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第三条学生住宿由学校</w:t>
      </w:r>
      <w:r>
        <w:rPr>
          <w:rFonts w:hint="eastAsia" w:ascii="宋体" w:hAnsi="宋体"/>
          <w:color w:val="auto"/>
          <w:sz w:val="18"/>
          <w:lang w:val="zh-TW" w:eastAsia="zh-CN" w:bidi="zh-TW"/>
        </w:rPr>
        <w:t>后勤保卫处</w:t>
      </w:r>
      <w:r>
        <w:rPr>
          <w:rFonts w:ascii="宋体" w:hAnsi="宋体"/>
          <w:color w:val="auto"/>
          <w:sz w:val="18"/>
          <w:lang w:val="zh-TW" w:eastAsia="zh-TW" w:bidi="zh-TW"/>
        </w:rPr>
        <w:t>统一计划，由学生工作处分配和整体协调。</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第四条学生住宿安排按照班级、专业相对集中的原则，由学生工作处按学生人数将房分配到各学院，由各学院将学生具体安排到各个寝室，然后将各寝室学生名单报学生工作处。</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第五条新生入学时凭交费凭证和住宿通知单到宿舍楼宿舍管理办公室办理住宿手续，领取钥匙和公寓用品。</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第六条学生在办理住宿手续后按住宿通知单到指定房间住宿，学生不得私自调换或占用空房间和空床位。</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第七条代购的公寓物品归学生本人所有，各人要妥善保管，丢失、损坏由本人负责。学生应仔细核对公寓物品是否齐全、完好，如有问题及时向宿舍楼管理员反映。</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第八条因故中途休学的学生在办理完复学手续后须到学生工作处和后勤</w:t>
      </w:r>
      <w:r>
        <w:rPr>
          <w:rFonts w:hint="eastAsia" w:ascii="宋体" w:hAnsi="宋体"/>
          <w:color w:val="auto"/>
          <w:sz w:val="18"/>
          <w:lang w:eastAsia="zh-CN" w:bidi="zh-TW"/>
        </w:rPr>
        <w:t>保卫处</w:t>
      </w:r>
      <w:r>
        <w:rPr>
          <w:rFonts w:ascii="宋体" w:hAnsi="宋体"/>
          <w:color w:val="auto"/>
          <w:sz w:val="18"/>
          <w:lang w:val="zh-TW" w:eastAsia="zh-TW" w:bidi="zh-TW"/>
        </w:rPr>
        <w:t>重新办理入住手续。</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第九条学生退学、休学、毕业离校，必须在规定日期到公寓服务中心办理退宿手续</w:t>
      </w:r>
      <w:r>
        <w:rPr>
          <w:rFonts w:hint="eastAsia" w:ascii="宋体" w:hAnsi="宋体"/>
          <w:color w:val="auto"/>
          <w:sz w:val="18"/>
          <w:lang w:val="zh-TW" w:eastAsia="zh-TW" w:bidi="zh-TW"/>
        </w:rPr>
        <w:t>；</w:t>
      </w:r>
      <w:r>
        <w:rPr>
          <w:rFonts w:ascii="宋体" w:hAnsi="宋体"/>
          <w:color w:val="auto"/>
          <w:sz w:val="18"/>
          <w:lang w:val="zh-TW" w:eastAsia="zh-TW" w:bidi="zh-TW"/>
        </w:rPr>
        <w:t>公寓服务中心须在检査完寝室公共物品和收回所有钥匙后方可到</w:t>
      </w:r>
      <w:r>
        <w:rPr>
          <w:rFonts w:hint="eastAsia" w:ascii="宋体" w:hAnsi="宋体"/>
          <w:color w:val="auto"/>
          <w:sz w:val="18"/>
          <w:lang w:eastAsia="zh-CN" w:bidi="zh-TW"/>
        </w:rPr>
        <w:t>后勤保卫处</w:t>
      </w:r>
      <w:r>
        <w:rPr>
          <w:rFonts w:ascii="宋体" w:hAnsi="宋体"/>
          <w:color w:val="auto"/>
          <w:sz w:val="18"/>
          <w:lang w:val="zh-TW" w:eastAsia="zh-TW" w:bidi="zh-TW"/>
        </w:rPr>
        <w:t>签字盖章，如有寝室公共物品遗失或人为损坏的要照价赔偿。</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第十条退学、休学、毕业的学生办完手续后三日内必须搬出公寓。如特殊原因需要延长住宿者，必须到学生工作处申请，申请批准后由</w:t>
      </w:r>
      <w:r>
        <w:rPr>
          <w:rFonts w:hint="eastAsia" w:ascii="宋体" w:hAnsi="宋体"/>
          <w:color w:val="auto"/>
          <w:sz w:val="18"/>
          <w:lang w:val="zh-TW" w:eastAsia="zh-CN" w:bidi="zh-TW"/>
        </w:rPr>
        <w:t>后勤保卫处</w:t>
      </w:r>
      <w:r>
        <w:rPr>
          <w:rFonts w:ascii="宋体" w:hAnsi="宋体"/>
          <w:color w:val="auto"/>
          <w:sz w:val="18"/>
          <w:lang w:val="zh-TW" w:eastAsia="zh-TW" w:bidi="zh-TW"/>
        </w:rPr>
        <w:t>统一安排并实行收费住宿，违反上述规定者交由</w:t>
      </w:r>
      <w:r>
        <w:rPr>
          <w:rFonts w:hint="eastAsia" w:ascii="宋体" w:hAnsi="宋体"/>
          <w:color w:val="auto"/>
          <w:sz w:val="18"/>
          <w:lang w:val="zh-TW" w:eastAsia="zh-CN" w:bidi="zh-TW"/>
        </w:rPr>
        <w:t>后勤保卫处</w:t>
      </w:r>
      <w:r>
        <w:rPr>
          <w:rFonts w:ascii="宋体" w:hAnsi="宋体"/>
          <w:color w:val="auto"/>
          <w:sz w:val="18"/>
          <w:lang w:val="zh-TW" w:eastAsia="zh-TW" w:bidi="zh-TW"/>
        </w:rPr>
        <w:t>处理。</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第十一条休学的学生在离校时必须将自己的公寓物品自行带回或由公寓服务中心集中保管到指定地点；退学、休学或毕业离校后，如个人物品仍放在公寓内，将被视为无主杂物予以清理。</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第十二条因学校整体规划须调整学生住宿时，由学校</w:t>
      </w:r>
      <w:r>
        <w:rPr>
          <w:rFonts w:hint="eastAsia" w:ascii="宋体" w:hAnsi="宋体"/>
          <w:color w:val="auto"/>
          <w:sz w:val="18"/>
          <w:lang w:val="zh-TW" w:eastAsia="zh-CN" w:bidi="zh-TW"/>
        </w:rPr>
        <w:t>后勤保卫处</w:t>
      </w:r>
      <w:r>
        <w:rPr>
          <w:rFonts w:ascii="宋体" w:hAnsi="宋体"/>
          <w:color w:val="auto"/>
          <w:sz w:val="18"/>
          <w:lang w:val="zh-TW" w:eastAsia="zh-TW" w:bidi="zh-TW"/>
        </w:rPr>
        <w:t>统一通知并安排，学生应积极配合，主动到公寓服务中心办理调整手续。</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十三条因学生个人需要调换住宿地点，需由学生本人提出书面申请，由辅导员审核签署意见，报学院审核盖章，再报学生工作处学生事务服务中心审批（本学院内的调整不需到学生工作处审核），审批通过后，再到学生事务服务大厅登记，最后凭审批表在楼幢宿舍管理员处登记、调整。</w:t>
      </w:r>
    </w:p>
    <w:p>
      <w:pPr>
        <w:spacing w:line="302"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第十四条学生进入公寓楼，应尊重公寓服务中心的各位工作人员，主动配合管理人员检查、询问，共同做好安全保卫工作。学生行李带出公寓楼，必须接受物业管理站工作人员的检查、登记，并回答例行的提问。</w:t>
      </w:r>
    </w:p>
    <w:p>
      <w:pPr>
        <w:spacing w:line="299"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第十五条公寓楼大门晚上</w:t>
      </w:r>
      <w:r>
        <w:rPr>
          <w:color w:val="auto"/>
          <w:szCs w:val="20"/>
          <w:lang w:val="zh-TW" w:eastAsia="zh-TW" w:bidi="zh-TW"/>
        </w:rPr>
        <w:t>23:00</w:t>
      </w:r>
      <w:r>
        <w:rPr>
          <w:rFonts w:ascii="宋体" w:hAnsi="宋体"/>
          <w:color w:val="auto"/>
          <w:sz w:val="18"/>
          <w:lang w:val="zh-TW" w:eastAsia="zh-TW" w:bidi="zh-TW"/>
        </w:rPr>
        <w:t>关闭，早上</w:t>
      </w:r>
      <w:r>
        <w:rPr>
          <w:color w:val="auto"/>
          <w:szCs w:val="20"/>
          <w:lang w:val="zh-TW" w:eastAsia="zh-TW" w:bidi="zh-TW"/>
        </w:rPr>
        <w:t>6:00</w:t>
      </w:r>
      <w:r>
        <w:rPr>
          <w:rFonts w:ascii="宋体" w:hAnsi="宋体"/>
          <w:color w:val="auto"/>
          <w:sz w:val="18"/>
          <w:lang w:val="zh-TW" w:eastAsia="zh-TW" w:bidi="zh-TW"/>
        </w:rPr>
        <w:t>开门，任何学生不得晚归，特殊情况须先写好晚归申请并经辅导员签字，到公寓服务中心登记后方可晚归；对无特殊情况擅自晚归或不归者，及时将情况向学生工作处汇报并报请相关部门处理。</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第十六条所有学生都必须服从学生工作处和有关系学院对寝室的安排。学生本人不得私自交换寝室，更不能私自占用空余寝室。</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第十七条学生寝室内配备的各种家具应严格按标准化的要求摆放，不得随意搬动，凡未经许可擅自搬动造成损坏者应照价赔偿，也不得将其它地方的家具搬入公寓使用。</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第十八条</w:t>
      </w:r>
      <w:r>
        <w:rPr>
          <w:rFonts w:hint="eastAsia" w:ascii="宋体" w:hAnsi="宋体"/>
          <w:color w:val="auto"/>
          <w:sz w:val="18"/>
          <w:lang w:val="zh-TW" w:eastAsia="zh-TW" w:bidi="zh-TW"/>
        </w:rPr>
        <w:t>禁止学生将吊床、吊椅、躺椅、电竞椅、靠背椅、自行车及健身器材（单杠）等自行安装物品带入寝室。</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第十九条学生寝室内禁止赌博、打麻将。学校规定的自修时间不得进行下棋、打扑克、高声开放音响设备等妨碍他人学习的娱乐活动；公寓楼内不得大声喧哗、不得在公寓楼内开展不适宜的体育活动。</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第二十条公寓楼熄灯后应保持楼内安静，不得在楼内喧哗、弹奏乐器、开放音响设备，晚归的学生回公寓后洗漱动作要轻、声音要小，以免影响他人休息。</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第二十一条学生应自觉维护寝室内卫生环境，严禁在室内饲养狗、猫、兔、蛇、鼠等宠物，违者报相关部门予以处理。</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第二十二条学生公寓楼休息时间或熄灯后，学生禁止翻越围墙、围栏，违者将给予违纪处分。禁止破坏围墙、围栏，违者按原价赔偿外，并同时给予违纪处分。</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第二十三条</w:t>
      </w:r>
      <w:r>
        <w:rPr>
          <w:rFonts w:hint="eastAsia" w:ascii="宋体" w:hAnsi="宋体"/>
          <w:color w:val="auto"/>
          <w:sz w:val="18"/>
          <w:lang w:val="zh-TW" w:eastAsia="zh-TW" w:bidi="zh-TW"/>
        </w:rPr>
        <w:t>禁止在公寓内使用明火（含煤油炉、酒精炉、蜡烛、蚊香等）</w:t>
      </w:r>
      <w:r>
        <w:rPr>
          <w:rFonts w:ascii="宋体" w:hAnsi="宋体"/>
          <w:color w:val="auto"/>
          <w:sz w:val="18"/>
          <w:lang w:val="zh-TW" w:eastAsia="zh-TW" w:bidi="zh-TW"/>
        </w:rPr>
        <w:t>，不准在公寓内焚烧杂物；禁止在公寓楼内外燃放烟花爆竹、摔砸物品；严禁在公寓内兜售物品；</w:t>
      </w:r>
      <w:r>
        <w:rPr>
          <w:rFonts w:ascii="宋体" w:hAnsi="宋体"/>
          <w:color w:val="auto"/>
          <w:sz w:val="18"/>
          <w:lang w:val="zh-CN" w:eastAsia="zh-CN" w:bidi="zh-CN"/>
        </w:rPr>
        <w:t>一经发</w:t>
      </w:r>
      <w:r>
        <w:rPr>
          <w:rFonts w:ascii="宋体" w:hAnsi="宋体"/>
          <w:color w:val="auto"/>
          <w:sz w:val="18"/>
          <w:lang w:val="zh-TW" w:eastAsia="zh-TW" w:bidi="zh-TW"/>
        </w:rPr>
        <w:t>现将没收有关器具，对情节严重或造成后果的将给予违纪处分。</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第二十四条寒暑假学校要对公寓楼进行检査并加贴封条。学校放假后，学校不安排学生住宿，有特殊情况确需留校住宿的预先申请经辅导员和所在学院同意</w:t>
      </w:r>
      <w:r>
        <w:rPr>
          <w:rFonts w:hint="eastAsia" w:ascii="宋体" w:hAnsi="宋体"/>
          <w:color w:val="auto"/>
          <w:sz w:val="18"/>
          <w:lang w:val="zh-TW" w:eastAsia="zh-TW" w:bidi="zh-TW"/>
        </w:rPr>
        <w:t>，</w:t>
      </w:r>
      <w:r>
        <w:rPr>
          <w:rFonts w:ascii="宋体" w:hAnsi="宋体"/>
          <w:color w:val="auto"/>
          <w:sz w:val="18"/>
          <w:lang w:val="zh-TW" w:eastAsia="zh-TW" w:bidi="zh-TW"/>
        </w:rPr>
        <w:t>由学校集中安排地点实行收费住宿（收费标准另定）。</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第二十五条寝室内不得私自留宿外人，违反者视情节严重程度给予相应违纪处分；特困学生家长来校，如住宿确有困难，须由所在学院开具证明，再由</w:t>
      </w:r>
      <w:r>
        <w:rPr>
          <w:rFonts w:hint="eastAsia" w:ascii="宋体" w:hAnsi="宋体"/>
          <w:color w:val="auto"/>
          <w:sz w:val="18"/>
          <w:lang w:val="zh-TW" w:eastAsia="zh-CN" w:bidi="zh-TW"/>
        </w:rPr>
        <w:t>后勤保卫处</w:t>
      </w:r>
      <w:r>
        <w:rPr>
          <w:rFonts w:ascii="宋体" w:hAnsi="宋体"/>
          <w:color w:val="auto"/>
          <w:sz w:val="18"/>
          <w:lang w:val="zh-TW" w:eastAsia="zh-TW" w:bidi="zh-TW"/>
        </w:rPr>
        <w:t>和公寓服务中心协调安排住宿。</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第二十六条学生应尊重、服从公寓服务中心管理人员的检查和管理，主动协助宿舍管理人员做好公寓管理工作，对违反本管理办法、不尊重、对抗或谩骂管理人员者，将报请相关部门给予违纪处分。</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第二十七条禁止携带、私藏及使用危险刀具及管制刀具，违者直接没收，对情节严重或造成后果的将给予违纪处分。</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第二十八条</w:t>
      </w:r>
      <w:r>
        <w:rPr>
          <w:rFonts w:hint="eastAsia" w:ascii="宋体" w:hAnsi="宋体"/>
          <w:color w:val="auto"/>
          <w:sz w:val="18"/>
          <w:lang w:val="zh-TW" w:eastAsia="zh-TW" w:bidi="zh-TW"/>
        </w:rPr>
        <w:t>禁止使用电炉、电磁炉、电热毯、电热杯、电熨斗、电火锅、“热得快”、电水壶、电夹板、电卷发棒、电视机、电冰箱、洗衣机等生活电器，禁止购买和使用经商打印机，违者除没收用具外，并同时给予违纪</w:t>
      </w:r>
      <w:r>
        <w:rPr>
          <w:rFonts w:ascii="宋体" w:hAnsi="宋体"/>
          <w:color w:val="auto"/>
          <w:sz w:val="18"/>
          <w:lang w:val="zh-TW" w:eastAsia="zh-TW" w:bidi="zh-TW"/>
        </w:rPr>
        <w:t>处分。</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第二十九条禁止私自接电源和改动室内线路，禁止多用插座拉到床上使用，台灯一律放在写字桌上，违者除没收用具外，并同时给予违纪处分。</w:t>
      </w:r>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第三十条学生应遵守寝室用水用电规则，做到安全节约用水用电，不得以任何形式窃取、盗用水电，违者除罚款外，并同时给予违纪处分。</w:t>
      </w:r>
    </w:p>
    <w:p>
      <w:pPr>
        <w:spacing w:line="31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第三十一条公寓早晨</w:t>
      </w:r>
      <w:r>
        <w:rPr>
          <w:color w:val="auto"/>
          <w:szCs w:val="20"/>
          <w:lang w:val="zh-TW" w:eastAsia="zh-TW" w:bidi="zh-TW"/>
        </w:rPr>
        <w:t>6:00</w:t>
      </w:r>
      <w:r>
        <w:rPr>
          <w:rFonts w:ascii="宋体" w:hAnsi="宋体"/>
          <w:color w:val="auto"/>
          <w:sz w:val="18"/>
          <w:lang w:val="zh-TW" w:eastAsia="zh-TW" w:bidi="zh-TW"/>
        </w:rPr>
        <w:t>定时送电，日间全天供电，夜间</w:t>
      </w:r>
      <w:r>
        <w:rPr>
          <w:color w:val="auto"/>
          <w:szCs w:val="20"/>
          <w:lang w:val="zh-TW" w:eastAsia="zh-TW" w:bidi="zh-TW"/>
        </w:rPr>
        <w:t>23:00</w:t>
      </w:r>
      <w:r>
        <w:rPr>
          <w:rFonts w:ascii="宋体" w:hAnsi="宋体"/>
          <w:color w:val="auto"/>
          <w:sz w:val="18"/>
          <w:lang w:val="zh-TW" w:eastAsia="zh-TW" w:bidi="zh-TW"/>
        </w:rPr>
        <w:t>熄灯，周五、周六、节假日及开学第一周、期末考试周不熄灯，其他特殊情况按学校通知执行。</w:t>
      </w:r>
    </w:p>
    <w:p>
      <w:pPr>
        <w:spacing w:line="31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第三十二条寝室内布置应文明、美观、大方，禁止在寝室内张贴不健康或格调低下的字画</w:t>
      </w:r>
      <w:r>
        <w:rPr>
          <w:rFonts w:hint="eastAsia" w:ascii="宋体" w:hAnsi="宋体"/>
          <w:color w:val="auto"/>
          <w:sz w:val="18"/>
          <w:lang w:val="zh-TW" w:eastAsia="zh-TW" w:bidi="zh-TW"/>
        </w:rPr>
        <w:t>，</w:t>
      </w:r>
      <w:r>
        <w:rPr>
          <w:rFonts w:ascii="宋体" w:hAnsi="宋体"/>
          <w:color w:val="auto"/>
          <w:sz w:val="18"/>
          <w:lang w:val="zh-TW" w:eastAsia="zh-TW" w:bidi="zh-TW"/>
        </w:rPr>
        <w:t>禁止在墙壁、门窗上乱涂、乱画，违者除清除字画、污迹，情节严重者给予违纪处分。</w:t>
      </w:r>
    </w:p>
    <w:p>
      <w:pPr>
        <w:spacing w:line="31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第三十三条寝室公共设施如床、桌、脸盆架等，必须按要求摆放，做到人、床、桌凳、脸盆等一一对应，任何学生不得搬动和更换物品规定的摆放位置。</w:t>
      </w:r>
    </w:p>
    <w:p>
      <w:pPr>
        <w:spacing w:line="317"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第三十四条禁止将厕纸、杂物丢入蹲坑、地漏等排水管道，违者造成管道堵塞的，除负责有偿疏通以外，对造成严重后果的将给予违纪处分。</w:t>
      </w:r>
    </w:p>
    <w:p>
      <w:pPr>
        <w:spacing w:line="314" w:lineRule="exact"/>
        <w:ind w:firstLine="420"/>
        <w:rPr>
          <w:rFonts w:ascii="宋体" w:hAnsi="宋体"/>
          <w:color w:val="auto"/>
          <w:sz w:val="18"/>
          <w:lang w:val="zh-TW" w:eastAsia="zh-TW" w:bidi="zh-TW"/>
        </w:rPr>
      </w:pPr>
      <w:r>
        <w:rPr>
          <w:rFonts w:ascii="宋体" w:hAnsi="宋体"/>
          <w:color w:val="auto"/>
          <w:sz w:val="18"/>
          <w:lang w:val="zh-TW" w:eastAsia="zh-TW" w:bidi="zh-TW"/>
        </w:rPr>
        <w:t>第三十五条本办法自颁布之日起实行。</w:t>
      </w:r>
    </w:p>
    <w:p>
      <w:pPr>
        <w:spacing w:line="314" w:lineRule="exact"/>
        <w:ind w:firstLine="420"/>
        <w:rPr>
          <w:rFonts w:ascii="宋体" w:hAnsi="宋体"/>
          <w:color w:val="auto"/>
          <w:sz w:val="18"/>
          <w:lang w:val="zh-TW" w:eastAsia="zh-TW" w:bidi="zh-TW"/>
        </w:rPr>
        <w:sectPr>
          <w:headerReference r:id="rId44" w:type="first"/>
          <w:footerReference r:id="rId47" w:type="first"/>
          <w:headerReference r:id="rId42" w:type="default"/>
          <w:footerReference r:id="rId45" w:type="default"/>
          <w:headerReference r:id="rId43" w:type="even"/>
          <w:footerReference r:id="rId46" w:type="even"/>
          <w:pgSz w:w="9800" w:h="15120"/>
          <w:pgMar w:top="1043" w:right="652" w:bottom="987" w:left="663" w:header="0" w:footer="3" w:gutter="0"/>
          <w:pgNumType w:fmt="decimal"/>
          <w:cols w:space="720" w:num="1"/>
          <w:titlePg/>
          <w:docGrid w:linePitch="360" w:charSpace="0"/>
        </w:sectPr>
      </w:pPr>
      <w:r>
        <w:rPr>
          <w:rFonts w:ascii="宋体" w:hAnsi="宋体"/>
          <w:color w:val="auto"/>
          <w:sz w:val="18"/>
          <w:lang w:val="zh-TW" w:eastAsia="zh-TW" w:bidi="zh-TW"/>
        </w:rPr>
        <w:t>第三十六条本办法解释权属学生工作处、</w:t>
      </w:r>
      <w:r>
        <w:rPr>
          <w:rFonts w:hint="eastAsia" w:ascii="宋体" w:hAnsi="宋体"/>
          <w:color w:val="auto"/>
          <w:sz w:val="18"/>
          <w:lang w:val="zh-TW" w:eastAsia="zh-CN" w:bidi="zh-TW"/>
        </w:rPr>
        <w:t>后勤保卫处</w:t>
      </w:r>
      <w:r>
        <w:rPr>
          <w:rFonts w:ascii="宋体" w:hAnsi="宋体"/>
          <w:color w:val="auto"/>
          <w:sz w:val="18"/>
          <w:lang w:val="zh-TW" w:eastAsia="zh-TW" w:bidi="zh-TW"/>
        </w:rPr>
        <w:t>。</w:t>
      </w:r>
    </w:p>
    <w:p>
      <w:pPr>
        <w:keepNext/>
        <w:keepLines/>
        <w:spacing w:after="140"/>
        <w:jc w:val="center"/>
        <w:outlineLvl w:val="0"/>
        <w:rPr>
          <w:rFonts w:ascii="宋体" w:hAnsi="宋体"/>
          <w:color w:val="auto"/>
          <w:sz w:val="38"/>
          <w:szCs w:val="38"/>
          <w:lang w:val="zh-TW" w:eastAsia="zh-TW" w:bidi="zh-TW"/>
        </w:rPr>
      </w:pPr>
      <w:bookmarkStart w:id="422" w:name="bookmark772"/>
    </w:p>
    <w:p>
      <w:pPr>
        <w:keepNext/>
        <w:keepLines/>
        <w:spacing w:after="140"/>
        <w:jc w:val="center"/>
        <w:outlineLvl w:val="0"/>
        <w:rPr>
          <w:rFonts w:ascii="宋体" w:hAnsi="宋体"/>
          <w:color w:val="auto"/>
          <w:sz w:val="38"/>
          <w:szCs w:val="38"/>
          <w:lang w:val="zh-TW" w:eastAsia="zh-TW" w:bidi="zh-TW"/>
        </w:rPr>
      </w:pPr>
    </w:p>
    <w:p>
      <w:pPr>
        <w:keepNext/>
        <w:keepLines/>
        <w:spacing w:after="140"/>
        <w:jc w:val="center"/>
        <w:outlineLvl w:val="0"/>
        <w:rPr>
          <w:rFonts w:hint="eastAsia" w:ascii="宋体" w:hAnsi="宋体" w:eastAsia="宋体"/>
          <w:color w:val="auto"/>
          <w:sz w:val="38"/>
          <w:szCs w:val="38"/>
          <w:lang w:val="zh-TW" w:eastAsia="zh-CN" w:bidi="zh-TW"/>
        </w:rPr>
      </w:pPr>
      <w:r>
        <w:rPr>
          <w:rFonts w:ascii="宋体" w:hAnsi="宋体"/>
          <w:color w:val="auto"/>
          <w:sz w:val="38"/>
          <w:szCs w:val="38"/>
          <w:lang w:val="zh-TW" w:eastAsia="zh-TW" w:bidi="zh-TW"/>
        </w:rPr>
        <w:t>南京航空航天大学金城学院</w:t>
      </w:r>
      <w:bookmarkEnd w:id="422"/>
      <w:bookmarkStart w:id="423" w:name="bookmark771"/>
      <w:bookmarkStart w:id="424" w:name="bookmark773"/>
      <w:bookmarkStart w:id="425" w:name="bookmark770"/>
    </w:p>
    <w:p>
      <w:pPr>
        <w:keepNext/>
        <w:keepLines/>
        <w:spacing w:after="140"/>
        <w:jc w:val="center"/>
        <w:outlineLvl w:val="0"/>
        <w:rPr>
          <w:rFonts w:ascii="宋体" w:hAnsi="宋体"/>
          <w:color w:val="auto"/>
          <w:sz w:val="38"/>
          <w:szCs w:val="38"/>
          <w:lang w:val="zh-TW" w:eastAsia="zh-TW" w:bidi="zh-TW"/>
        </w:rPr>
      </w:pPr>
      <w:r>
        <w:rPr>
          <w:rFonts w:ascii="宋体" w:hAnsi="宋体"/>
          <w:color w:val="auto"/>
          <w:sz w:val="38"/>
          <w:szCs w:val="38"/>
          <w:lang w:val="zh-TW" w:eastAsia="zh-TW" w:bidi="zh-TW"/>
        </w:rPr>
        <w:t>关于住校生申请校外住宿走读的暂行规定</w:t>
      </w:r>
      <w:bookmarkEnd w:id="423"/>
      <w:bookmarkEnd w:id="424"/>
      <w:bookmarkEnd w:id="425"/>
    </w:p>
    <w:p>
      <w:pPr>
        <w:spacing w:after="240" w:line="298" w:lineRule="exact"/>
        <w:ind w:firstLine="440"/>
        <w:jc w:val="both"/>
        <w:rPr>
          <w:rFonts w:ascii="宋体" w:hAnsi="宋体"/>
          <w:color w:val="auto"/>
          <w:sz w:val="18"/>
          <w:lang w:val="zh-TW" w:eastAsia="zh-TW" w:bidi="zh-TW"/>
        </w:rPr>
      </w:pPr>
      <w:r>
        <w:rPr>
          <w:rFonts w:ascii="宋体" w:hAnsi="宋体"/>
          <w:color w:val="auto"/>
          <w:sz w:val="18"/>
          <w:lang w:val="zh-TW" w:eastAsia="zh-TW" w:bidi="zh-TW"/>
        </w:rPr>
        <w:t>学校为学生提供了良好的住宿条件，从学生安全和学习角度考虑，学校不鼓励学生校外住宿，针对部分特殊情况，现对住校生申请校外住宿走读作出如下规定：</w:t>
      </w:r>
    </w:p>
    <w:p>
      <w:pPr>
        <w:tabs>
          <w:tab w:val="left" w:pos="966"/>
        </w:tabs>
        <w:spacing w:after="140"/>
        <w:ind w:firstLine="440"/>
        <w:jc w:val="both"/>
        <w:rPr>
          <w:rFonts w:ascii="宋体" w:hAnsi="宋体"/>
          <w:color w:val="auto"/>
          <w:sz w:val="22"/>
          <w:szCs w:val="22"/>
          <w:lang w:val="zh-TW" w:eastAsia="zh-TW" w:bidi="zh-TW"/>
        </w:rPr>
      </w:pPr>
      <w:bookmarkStart w:id="426" w:name="bookmark774"/>
      <w:r>
        <w:rPr>
          <w:rFonts w:ascii="宋体" w:hAnsi="宋体"/>
          <w:color w:val="auto"/>
          <w:sz w:val="22"/>
          <w:szCs w:val="22"/>
          <w:lang w:val="zh-TW" w:eastAsia="zh-TW" w:bidi="zh-TW"/>
        </w:rPr>
        <w:t>一</w:t>
      </w:r>
      <w:bookmarkEnd w:id="426"/>
      <w:r>
        <w:rPr>
          <w:rFonts w:ascii="宋体" w:hAnsi="宋体"/>
          <w:color w:val="auto"/>
          <w:sz w:val="22"/>
          <w:szCs w:val="22"/>
          <w:lang w:val="zh-TW" w:eastAsia="zh-TW" w:bidi="zh-TW"/>
        </w:rPr>
        <w:t>、申请条件</w:t>
      </w:r>
    </w:p>
    <w:p>
      <w:pPr>
        <w:tabs>
          <w:tab w:val="left" w:pos="757"/>
        </w:tabs>
        <w:spacing w:after="60" w:line="317" w:lineRule="exact"/>
        <w:ind w:left="440"/>
        <w:jc w:val="both"/>
        <w:rPr>
          <w:rFonts w:ascii="宋体" w:hAnsi="宋体"/>
          <w:color w:val="auto"/>
          <w:sz w:val="18"/>
          <w:lang w:val="zh-TW" w:eastAsia="zh-TW" w:bidi="zh-TW"/>
        </w:rPr>
      </w:pPr>
      <w:bookmarkStart w:id="427" w:name="bookmark775"/>
      <w:bookmarkEnd w:id="427"/>
      <w:r>
        <w:rPr>
          <w:rFonts w:hint="eastAsia"/>
          <w:color w:val="auto"/>
          <w:lang w:val="zh-TW" w:eastAsia="zh-CN" w:bidi="zh-TW"/>
        </w:rPr>
        <w:t>1</w:t>
      </w:r>
      <w:r>
        <w:rPr>
          <w:color w:val="auto"/>
          <w:lang w:val="zh-TW" w:eastAsia="zh-TW" w:bidi="zh-TW"/>
        </w:rPr>
        <w:t>.</w:t>
      </w:r>
      <w:r>
        <w:rPr>
          <w:rFonts w:ascii="宋体" w:hAnsi="宋体"/>
          <w:color w:val="auto"/>
          <w:sz w:val="18"/>
          <w:lang w:val="zh-TW" w:eastAsia="zh-TW" w:bidi="zh-TW"/>
        </w:rPr>
        <w:t>因病（肺结核、肝炎等传染性疾病或神经衰弱等）须改善医疗住宿条件的（提供医院证明）；</w:t>
      </w:r>
    </w:p>
    <w:p>
      <w:pPr>
        <w:tabs>
          <w:tab w:val="left" w:pos="784"/>
        </w:tabs>
        <w:spacing w:after="240"/>
        <w:ind w:left="440"/>
        <w:jc w:val="both"/>
        <w:rPr>
          <w:rFonts w:ascii="宋体" w:hAnsi="宋体"/>
          <w:color w:val="auto"/>
          <w:sz w:val="18"/>
          <w:lang w:val="zh-TW" w:eastAsia="zh-TW" w:bidi="zh-TW"/>
        </w:rPr>
      </w:pPr>
      <w:bookmarkStart w:id="428" w:name="bookmark776"/>
      <w:bookmarkEnd w:id="428"/>
      <w:r>
        <w:rPr>
          <w:rFonts w:hint="eastAsia"/>
          <w:color w:val="auto"/>
          <w:lang w:val="zh-TW" w:eastAsia="zh-CN" w:bidi="zh-TW"/>
        </w:rPr>
        <w:t>2</w:t>
      </w:r>
      <w:r>
        <w:rPr>
          <w:color w:val="auto"/>
          <w:lang w:val="zh-TW" w:eastAsia="zh-TW" w:bidi="zh-TW"/>
        </w:rPr>
        <w:t>.</w:t>
      </w:r>
      <w:r>
        <w:rPr>
          <w:rFonts w:ascii="宋体" w:hAnsi="宋体"/>
          <w:color w:val="auto"/>
          <w:sz w:val="18"/>
          <w:lang w:val="zh-TW" w:eastAsia="zh-TW" w:bidi="zh-TW"/>
        </w:rPr>
        <w:t>其他特殊原因。</w:t>
      </w:r>
    </w:p>
    <w:p>
      <w:pPr>
        <w:spacing w:after="140"/>
        <w:ind w:firstLine="440"/>
        <w:jc w:val="both"/>
        <w:rPr>
          <w:rFonts w:ascii="宋体" w:hAnsi="宋体"/>
          <w:color w:val="auto"/>
          <w:sz w:val="22"/>
          <w:szCs w:val="22"/>
          <w:lang w:val="zh-TW" w:eastAsia="zh-TW" w:bidi="zh-TW"/>
        </w:rPr>
      </w:pPr>
      <w:bookmarkStart w:id="429" w:name="bookmark777"/>
      <w:r>
        <w:rPr>
          <w:rFonts w:ascii="宋体" w:hAnsi="宋体"/>
          <w:color w:val="auto"/>
          <w:sz w:val="22"/>
          <w:szCs w:val="22"/>
          <w:lang w:val="zh-TW" w:eastAsia="zh-TW" w:bidi="zh-TW"/>
        </w:rPr>
        <w:t>二</w:t>
      </w:r>
      <w:bookmarkEnd w:id="429"/>
      <w:r>
        <w:rPr>
          <w:rFonts w:ascii="宋体" w:hAnsi="宋体"/>
          <w:color w:val="auto"/>
          <w:sz w:val="22"/>
          <w:szCs w:val="22"/>
          <w:lang w:val="zh-TW" w:eastAsia="zh-TW" w:bidi="zh-TW"/>
        </w:rPr>
        <w:t>、办理程序</w:t>
      </w:r>
    </w:p>
    <w:p>
      <w:pPr>
        <w:spacing w:line="302" w:lineRule="exact"/>
        <w:ind w:firstLine="400" w:firstLineChars="200"/>
        <w:jc w:val="both"/>
        <w:rPr>
          <w:rFonts w:ascii="宋体" w:hAnsi="宋体"/>
          <w:color w:val="auto"/>
          <w:sz w:val="18"/>
          <w:lang w:val="zh-TW" w:eastAsia="zh-TW" w:bidi="zh-TW"/>
        </w:rPr>
      </w:pPr>
      <w:bookmarkStart w:id="430" w:name="bookmark778"/>
      <w:bookmarkEnd w:id="430"/>
      <w:r>
        <w:rPr>
          <w:rFonts w:hint="eastAsia"/>
          <w:color w:val="auto"/>
          <w:lang w:val="zh-TW" w:eastAsia="zh-CN" w:bidi="zh-TW"/>
        </w:rPr>
        <w:t>1</w:t>
      </w:r>
      <w:r>
        <w:rPr>
          <w:color w:val="auto"/>
          <w:lang w:val="zh-TW" w:eastAsia="zh-TW" w:bidi="zh-TW"/>
        </w:rPr>
        <w:t>.</w:t>
      </w:r>
      <w:r>
        <w:rPr>
          <w:rFonts w:ascii="宋体" w:hAnsi="宋体"/>
          <w:color w:val="auto"/>
          <w:sz w:val="18"/>
          <w:lang w:val="zh-TW" w:eastAsia="zh-TW" w:bidi="zh-TW"/>
        </w:rPr>
        <w:t>申请人到辅导员处领取《南京航空航天大学金城学院学生申请校外住宿走读审批表》（后简称《审批表》，一式五份，学生工作处、财务处、宿舍管理办公室、学院、学生本人各留存一份）；</w:t>
      </w:r>
    </w:p>
    <w:p>
      <w:pPr>
        <w:spacing w:line="312" w:lineRule="exact"/>
        <w:ind w:left="442"/>
        <w:jc w:val="both"/>
        <w:rPr>
          <w:rFonts w:ascii="宋体" w:hAnsi="宋体"/>
          <w:color w:val="auto"/>
          <w:sz w:val="18"/>
          <w:lang w:val="zh-TW" w:eastAsia="zh-TW" w:bidi="zh-TW"/>
        </w:rPr>
      </w:pPr>
      <w:bookmarkStart w:id="431" w:name="bookmark779"/>
      <w:bookmarkEnd w:id="431"/>
      <w:r>
        <w:rPr>
          <w:rFonts w:hint="eastAsia"/>
          <w:color w:val="auto"/>
          <w:lang w:val="zh-TW" w:eastAsia="zh-CN" w:bidi="zh-TW"/>
        </w:rPr>
        <w:t>2</w:t>
      </w:r>
      <w:r>
        <w:rPr>
          <w:color w:val="auto"/>
          <w:lang w:val="zh-TW" w:eastAsia="zh-CN" w:bidi="zh-TW"/>
        </w:rPr>
        <w:t>.</w:t>
      </w:r>
      <w:r>
        <w:rPr>
          <w:rFonts w:ascii="宋体" w:hAnsi="宋体"/>
          <w:color w:val="auto"/>
          <w:sz w:val="18"/>
          <w:lang w:val="zh-TW" w:eastAsia="zh-TW" w:bidi="zh-TW"/>
        </w:rPr>
        <w:t>申请人在《审批表》上如实填写本人基本情况、校外住宿走读理由、起止时间等，家长须签字同意；</w:t>
      </w:r>
    </w:p>
    <w:p>
      <w:pPr>
        <w:spacing w:line="312" w:lineRule="exact"/>
        <w:ind w:left="442"/>
        <w:jc w:val="both"/>
        <w:rPr>
          <w:rFonts w:ascii="宋体" w:hAnsi="宋体"/>
          <w:color w:val="auto"/>
          <w:sz w:val="18"/>
          <w:lang w:val="zh-TW" w:eastAsia="zh-TW" w:bidi="zh-TW"/>
        </w:rPr>
      </w:pPr>
      <w:bookmarkStart w:id="432" w:name="bookmark780"/>
      <w:bookmarkEnd w:id="432"/>
      <w:r>
        <w:rPr>
          <w:rFonts w:hint="eastAsia"/>
          <w:color w:val="auto"/>
          <w:lang w:val="zh-TW" w:eastAsia="zh-CN" w:bidi="zh-TW"/>
        </w:rPr>
        <w:t>3</w:t>
      </w:r>
      <w:r>
        <w:rPr>
          <w:color w:val="auto"/>
          <w:lang w:val="zh-TW" w:eastAsia="zh-TW" w:bidi="zh-TW"/>
        </w:rPr>
        <w:t>.</w:t>
      </w:r>
      <w:r>
        <w:rPr>
          <w:rFonts w:ascii="宋体" w:hAnsi="宋体"/>
          <w:color w:val="auto"/>
          <w:sz w:val="18"/>
          <w:lang w:val="zh-TW" w:eastAsia="zh-TW" w:bidi="zh-TW"/>
        </w:rPr>
        <w:t>申请人须提供在外住宿的详细地址、联系电话及房主身份证复印件等；</w:t>
      </w:r>
    </w:p>
    <w:p>
      <w:pPr>
        <w:spacing w:line="312" w:lineRule="exact"/>
        <w:ind w:firstLine="400" w:firstLineChars="200"/>
        <w:jc w:val="both"/>
        <w:rPr>
          <w:rFonts w:ascii="宋体" w:hAnsi="宋体"/>
          <w:color w:val="auto"/>
          <w:sz w:val="18"/>
          <w:lang w:val="zh-TW" w:eastAsia="zh-TW" w:bidi="zh-TW"/>
        </w:rPr>
      </w:pPr>
      <w:bookmarkStart w:id="433" w:name="bookmark781"/>
      <w:bookmarkEnd w:id="433"/>
      <w:r>
        <w:rPr>
          <w:rFonts w:hint="eastAsia"/>
          <w:color w:val="auto"/>
          <w:lang w:val="zh-TW" w:eastAsia="zh-CN" w:bidi="zh-TW"/>
        </w:rPr>
        <w:t>4</w:t>
      </w:r>
      <w:r>
        <w:rPr>
          <w:color w:val="auto"/>
          <w:lang w:val="zh-TW" w:eastAsia="zh-TW" w:bidi="zh-TW"/>
        </w:rPr>
        <w:t>.</w:t>
      </w:r>
      <w:r>
        <w:rPr>
          <w:rFonts w:ascii="宋体" w:hAnsi="宋体"/>
          <w:color w:val="auto"/>
          <w:sz w:val="18"/>
          <w:lang w:val="zh-TW" w:eastAsia="zh-TW" w:bidi="zh-TW"/>
        </w:rPr>
        <w:t>学院、辅导员须对申请者进行严格的资格审査及详细的情况说明，如因学院、辅导员审查有误造成不良后果的，学院、辅导员要承担相应责任。</w:t>
      </w:r>
    </w:p>
    <w:p>
      <w:pPr>
        <w:spacing w:line="312" w:lineRule="exact"/>
        <w:ind w:firstLine="400" w:firstLineChars="200"/>
        <w:jc w:val="both"/>
        <w:rPr>
          <w:rFonts w:ascii="宋体" w:hAnsi="宋体"/>
          <w:color w:val="auto"/>
          <w:sz w:val="18"/>
          <w:lang w:val="zh-TW" w:eastAsia="zh-TW" w:bidi="zh-TW"/>
        </w:rPr>
      </w:pPr>
      <w:bookmarkStart w:id="434" w:name="bookmark782"/>
      <w:bookmarkEnd w:id="434"/>
      <w:r>
        <w:rPr>
          <w:rFonts w:hint="eastAsia"/>
          <w:color w:val="auto"/>
          <w:lang w:val="zh-TW" w:eastAsia="zh-CN" w:bidi="zh-TW"/>
        </w:rPr>
        <w:t>5</w:t>
      </w:r>
      <w:r>
        <w:rPr>
          <w:color w:val="auto"/>
          <w:lang w:val="zh-TW" w:eastAsia="zh-TW" w:bidi="zh-TW"/>
        </w:rPr>
        <w:t>.</w:t>
      </w:r>
      <w:r>
        <w:rPr>
          <w:rFonts w:ascii="宋体" w:hAnsi="宋体"/>
          <w:color w:val="auto"/>
          <w:sz w:val="18"/>
          <w:lang w:val="zh-TW" w:eastAsia="zh-TW" w:bidi="zh-TW"/>
        </w:rPr>
        <w:t>经学生工作处批准后，申请人到</w:t>
      </w:r>
      <w:r>
        <w:rPr>
          <w:rFonts w:hint="eastAsia" w:ascii="宋体" w:hAnsi="宋体"/>
          <w:color w:val="auto"/>
          <w:sz w:val="18"/>
          <w:lang w:val="zh-TW" w:eastAsia="zh-CN" w:bidi="zh-TW"/>
        </w:rPr>
        <w:t>后勤保卫处</w:t>
      </w:r>
      <w:r>
        <w:rPr>
          <w:rFonts w:ascii="宋体" w:hAnsi="宋体"/>
          <w:color w:val="auto"/>
          <w:sz w:val="18"/>
          <w:lang w:val="zh-TW" w:eastAsia="zh-TW" w:bidi="zh-TW"/>
        </w:rPr>
        <w:t>宿舍管理办公室办理登记及退床位手续，学校原则上不再为走读学生提供住宿；</w:t>
      </w:r>
    </w:p>
    <w:p>
      <w:pPr>
        <w:spacing w:after="240" w:line="312" w:lineRule="exact"/>
        <w:ind w:left="442"/>
        <w:jc w:val="both"/>
        <w:rPr>
          <w:rFonts w:ascii="宋体" w:hAnsi="宋体"/>
          <w:color w:val="auto"/>
          <w:sz w:val="18"/>
          <w:lang w:val="zh-TW" w:eastAsia="zh-TW" w:bidi="zh-TW"/>
        </w:rPr>
      </w:pPr>
      <w:bookmarkStart w:id="435" w:name="bookmark783"/>
      <w:bookmarkEnd w:id="435"/>
      <w:r>
        <w:rPr>
          <w:rFonts w:hint="eastAsia"/>
          <w:color w:val="auto"/>
          <w:lang w:val="zh-TW" w:eastAsia="zh-CN" w:bidi="zh-TW"/>
        </w:rPr>
        <w:t>6</w:t>
      </w:r>
      <w:r>
        <w:rPr>
          <w:color w:val="auto"/>
          <w:lang w:val="zh-TW" w:eastAsia="zh-TW" w:bidi="zh-TW"/>
        </w:rPr>
        <w:t>.</w:t>
      </w:r>
      <w:r>
        <w:rPr>
          <w:rFonts w:ascii="宋体" w:hAnsi="宋体"/>
          <w:color w:val="auto"/>
          <w:sz w:val="18"/>
          <w:lang w:val="zh-TW" w:eastAsia="zh-TW" w:bidi="zh-TW"/>
        </w:rPr>
        <w:t>申请人办理完校外住宿审批手续后，持《审批表》到财务处按规定退回有关费用。</w:t>
      </w:r>
    </w:p>
    <w:p>
      <w:pPr>
        <w:spacing w:after="240"/>
        <w:ind w:firstLine="440"/>
        <w:jc w:val="both"/>
        <w:rPr>
          <w:rFonts w:ascii="宋体" w:hAnsi="宋体"/>
          <w:color w:val="auto"/>
          <w:sz w:val="22"/>
          <w:szCs w:val="22"/>
          <w:lang w:val="zh-TW" w:eastAsia="zh-TW" w:bidi="zh-TW"/>
        </w:rPr>
      </w:pPr>
      <w:bookmarkStart w:id="436" w:name="bookmark784"/>
      <w:r>
        <w:rPr>
          <w:rFonts w:ascii="宋体" w:hAnsi="宋体"/>
          <w:color w:val="auto"/>
          <w:sz w:val="22"/>
          <w:szCs w:val="22"/>
          <w:lang w:val="zh-TW" w:eastAsia="zh-TW" w:bidi="zh-TW"/>
        </w:rPr>
        <w:t>三</w:t>
      </w:r>
      <w:bookmarkEnd w:id="436"/>
      <w:r>
        <w:rPr>
          <w:rFonts w:ascii="宋体" w:hAnsi="宋体"/>
          <w:color w:val="auto"/>
          <w:sz w:val="22"/>
          <w:szCs w:val="22"/>
          <w:lang w:val="zh-TW" w:eastAsia="zh-TW" w:bidi="zh-TW"/>
        </w:rPr>
        <w:t>、注意事项</w:t>
      </w:r>
    </w:p>
    <w:p>
      <w:pPr>
        <w:spacing w:line="326" w:lineRule="auto"/>
        <w:ind w:left="442"/>
        <w:jc w:val="both"/>
        <w:rPr>
          <w:rFonts w:ascii="宋体" w:hAnsi="宋体"/>
          <w:color w:val="auto"/>
          <w:sz w:val="18"/>
          <w:lang w:val="zh-TW" w:eastAsia="zh-TW" w:bidi="zh-TW"/>
        </w:rPr>
      </w:pPr>
      <w:bookmarkStart w:id="437" w:name="bookmark785"/>
      <w:bookmarkEnd w:id="437"/>
      <w:r>
        <w:rPr>
          <w:rFonts w:hint="eastAsia"/>
          <w:color w:val="auto"/>
          <w:lang w:val="zh-TW" w:eastAsia="zh-CN" w:bidi="zh-TW"/>
        </w:rPr>
        <w:t>1</w:t>
      </w:r>
      <w:r>
        <w:rPr>
          <w:color w:val="auto"/>
          <w:lang w:val="zh-TW" w:eastAsia="zh-TW" w:bidi="zh-TW"/>
        </w:rPr>
        <w:t>.</w:t>
      </w:r>
      <w:r>
        <w:rPr>
          <w:rFonts w:ascii="宋体" w:hAnsi="宋体"/>
          <w:color w:val="auto"/>
          <w:sz w:val="18"/>
          <w:lang w:val="zh-TW" w:eastAsia="zh-TW" w:bidi="zh-TW"/>
        </w:rPr>
        <w:t>在校住宿的学生未经批准不得私自在校外住宿；</w:t>
      </w:r>
    </w:p>
    <w:p>
      <w:pPr>
        <w:spacing w:line="312" w:lineRule="exact"/>
        <w:ind w:firstLine="400" w:firstLineChars="200"/>
        <w:jc w:val="both"/>
        <w:rPr>
          <w:rFonts w:ascii="宋体" w:hAnsi="宋体"/>
          <w:color w:val="auto"/>
          <w:sz w:val="18"/>
          <w:lang w:val="zh-TW" w:eastAsia="zh-TW" w:bidi="zh-TW"/>
        </w:rPr>
      </w:pPr>
      <w:bookmarkStart w:id="438" w:name="bookmark786"/>
      <w:bookmarkEnd w:id="438"/>
      <w:r>
        <w:rPr>
          <w:rFonts w:hint="eastAsia"/>
          <w:color w:val="auto"/>
          <w:lang w:val="zh-TW" w:eastAsia="zh-CN" w:bidi="zh-TW"/>
        </w:rPr>
        <w:t>2</w:t>
      </w:r>
      <w:r>
        <w:rPr>
          <w:color w:val="auto"/>
          <w:lang w:val="zh-TW" w:eastAsia="zh-TW" w:bidi="zh-TW"/>
        </w:rPr>
        <w:t>.</w:t>
      </w:r>
      <w:r>
        <w:rPr>
          <w:rFonts w:ascii="宋体" w:hAnsi="宋体"/>
          <w:color w:val="auto"/>
          <w:sz w:val="18"/>
          <w:lang w:val="zh-TW" w:eastAsia="zh-TW" w:bidi="zh-TW"/>
        </w:rPr>
        <w:t>凡未办理走读手续私自到校外居住者，本人承担由此产生的一切后果，学校还将视情节根据有关学生管理规定给予纪律处分；</w:t>
      </w:r>
    </w:p>
    <w:p>
      <w:pPr>
        <w:spacing w:line="310" w:lineRule="exact"/>
        <w:ind w:firstLine="400" w:firstLineChars="200"/>
        <w:jc w:val="both"/>
        <w:rPr>
          <w:rFonts w:ascii="宋体" w:hAnsi="宋体"/>
          <w:color w:val="auto"/>
          <w:sz w:val="18"/>
          <w:lang w:val="zh-TW" w:eastAsia="zh-TW" w:bidi="zh-TW"/>
        </w:rPr>
      </w:pPr>
      <w:bookmarkStart w:id="439" w:name="bookmark787"/>
      <w:bookmarkEnd w:id="439"/>
      <w:r>
        <w:rPr>
          <w:rFonts w:hint="eastAsia"/>
          <w:color w:val="auto"/>
          <w:lang w:val="zh-TW" w:eastAsia="zh-CN" w:bidi="zh-TW"/>
        </w:rPr>
        <w:t>3</w:t>
      </w:r>
      <w:r>
        <w:rPr>
          <w:color w:val="auto"/>
          <w:lang w:val="zh-TW" w:eastAsia="zh-TW" w:bidi="zh-TW"/>
        </w:rPr>
        <w:t>.</w:t>
      </w:r>
      <w:r>
        <w:rPr>
          <w:rFonts w:ascii="宋体" w:hAnsi="宋体"/>
          <w:color w:val="auto"/>
          <w:sz w:val="18"/>
          <w:lang w:val="zh-TW" w:eastAsia="zh-TW" w:bidi="zh-TW"/>
        </w:rPr>
        <w:t>学生在校外住宿地点发生变更后应于当日报告辅导员并重新办理校外住宿相关手续，否则按上一条规定处理；</w:t>
      </w:r>
    </w:p>
    <w:p>
      <w:pPr>
        <w:spacing w:after="240" w:line="310" w:lineRule="exact"/>
        <w:ind w:firstLine="400" w:firstLineChars="200"/>
        <w:jc w:val="both"/>
        <w:rPr>
          <w:rFonts w:ascii="宋体" w:hAnsi="宋体"/>
          <w:color w:val="auto"/>
          <w:sz w:val="18"/>
          <w:lang w:val="zh-TW" w:eastAsia="zh-TW" w:bidi="zh-TW"/>
        </w:rPr>
      </w:pPr>
      <w:bookmarkStart w:id="440" w:name="bookmark788"/>
      <w:bookmarkEnd w:id="440"/>
      <w:r>
        <w:rPr>
          <w:rFonts w:hint="eastAsia"/>
          <w:color w:val="auto"/>
          <w:lang w:val="zh-TW" w:eastAsia="zh-CN" w:bidi="zh-TW"/>
        </w:rPr>
        <w:t>4</w:t>
      </w:r>
      <w:r>
        <w:rPr>
          <w:color w:val="auto"/>
          <w:lang w:val="zh-TW" w:eastAsia="zh-TW" w:bidi="zh-TW"/>
        </w:rPr>
        <w:t>.</w:t>
      </w:r>
      <w:r>
        <w:rPr>
          <w:rFonts w:ascii="宋体" w:hAnsi="宋体"/>
          <w:color w:val="auto"/>
          <w:sz w:val="18"/>
          <w:lang w:val="zh-TW" w:eastAsia="zh-TW" w:bidi="zh-TW"/>
        </w:rPr>
        <w:t>学生在校外住宿期间应注意人身及财产安全，因在校外住宿引起的人身伤害及财产损失均由学生本人负责。</w:t>
      </w:r>
    </w:p>
    <w:p>
      <w:pPr>
        <w:spacing w:after="380"/>
        <w:ind w:firstLine="440"/>
        <w:jc w:val="both"/>
        <w:rPr>
          <w:rFonts w:ascii="宋体" w:hAnsi="宋体"/>
          <w:color w:val="auto"/>
          <w:sz w:val="22"/>
          <w:szCs w:val="22"/>
          <w:lang w:val="zh-TW" w:eastAsia="zh-TW" w:bidi="zh-TW"/>
        </w:rPr>
      </w:pPr>
      <w:bookmarkStart w:id="441" w:name="bookmark789"/>
      <w:r>
        <w:rPr>
          <w:rFonts w:ascii="宋体" w:hAnsi="宋体"/>
          <w:color w:val="auto"/>
          <w:sz w:val="22"/>
          <w:szCs w:val="22"/>
          <w:lang w:val="zh-TW" w:eastAsia="zh-TW" w:bidi="zh-TW"/>
        </w:rPr>
        <w:t>四</w:t>
      </w:r>
      <w:bookmarkEnd w:id="441"/>
      <w:r>
        <w:rPr>
          <w:rFonts w:ascii="宋体" w:hAnsi="宋体"/>
          <w:color w:val="auto"/>
          <w:sz w:val="22"/>
          <w:szCs w:val="22"/>
          <w:lang w:val="zh-TW" w:eastAsia="zh-TW" w:bidi="zh-TW"/>
        </w:rPr>
        <w:t>、本规定自颁布之日起执行。</w:t>
      </w:r>
    </w:p>
    <w:p>
      <w:pPr>
        <w:spacing w:after="240"/>
        <w:ind w:firstLine="440"/>
        <w:jc w:val="both"/>
        <w:rPr>
          <w:rFonts w:ascii="宋体" w:hAnsi="宋体"/>
          <w:color w:val="auto"/>
          <w:sz w:val="22"/>
          <w:szCs w:val="22"/>
          <w:lang w:val="zh-TW" w:eastAsia="zh-TW" w:bidi="zh-TW"/>
        </w:rPr>
      </w:pPr>
      <w:bookmarkStart w:id="442" w:name="bookmark790"/>
      <w:r>
        <w:rPr>
          <w:rFonts w:ascii="宋体" w:hAnsi="宋体"/>
          <w:color w:val="auto"/>
          <w:sz w:val="22"/>
          <w:szCs w:val="22"/>
          <w:lang w:val="zh-TW" w:eastAsia="zh-TW" w:bidi="zh-TW"/>
        </w:rPr>
        <w:t>五</w:t>
      </w:r>
      <w:bookmarkEnd w:id="442"/>
      <w:r>
        <w:rPr>
          <w:rFonts w:ascii="宋体" w:hAnsi="宋体"/>
          <w:color w:val="auto"/>
          <w:sz w:val="22"/>
          <w:szCs w:val="22"/>
          <w:lang w:val="zh-TW" w:eastAsia="zh-TW" w:bidi="zh-TW"/>
        </w:rPr>
        <w:t>、本规定解释权属学生工作处。</w:t>
      </w:r>
      <w:r>
        <w:rPr>
          <w:rFonts w:ascii="宋体" w:hAnsi="宋体"/>
          <w:color w:val="auto"/>
          <w:sz w:val="22"/>
          <w:szCs w:val="22"/>
          <w:lang w:val="zh-TW" w:eastAsia="zh-TW" w:bidi="zh-TW"/>
        </w:rPr>
        <w:br w:type="page"/>
      </w:r>
    </w:p>
    <w:p>
      <w:pPr>
        <w:keepNext/>
        <w:keepLines/>
        <w:spacing w:after="380" w:line="586" w:lineRule="exact"/>
        <w:jc w:val="center"/>
        <w:outlineLvl w:val="0"/>
        <w:rPr>
          <w:rFonts w:ascii="宋体" w:hAnsi="宋体"/>
          <w:color w:val="auto"/>
          <w:sz w:val="38"/>
          <w:szCs w:val="38"/>
          <w:highlight w:val="none"/>
          <w:lang w:val="zh-TW" w:eastAsia="zh-TW" w:bidi="zh-TW"/>
        </w:rPr>
      </w:pPr>
      <w:bookmarkStart w:id="443" w:name="bookmark793"/>
      <w:bookmarkStart w:id="444" w:name="bookmark791"/>
      <w:bookmarkStart w:id="445" w:name="bookmark792"/>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学生请、销假管理规定</w:t>
      </w:r>
      <w:bookmarkEnd w:id="443"/>
      <w:bookmarkEnd w:id="444"/>
      <w:bookmarkEnd w:id="445"/>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第一条学生在学习期间（周日晚</w:t>
      </w:r>
      <w:r>
        <w:rPr>
          <w:color w:val="auto"/>
          <w:szCs w:val="20"/>
          <w:lang w:eastAsia="zh-CN"/>
        </w:rPr>
        <w:t>18:30-</w:t>
      </w:r>
      <w:r>
        <w:rPr>
          <w:rFonts w:ascii="宋体" w:hAnsi="宋体"/>
          <w:color w:val="auto"/>
          <w:sz w:val="18"/>
          <w:lang w:val="zh-TW" w:eastAsia="zh-TW" w:bidi="zh-TW"/>
        </w:rPr>
        <w:t>周五下午</w:t>
      </w:r>
      <w:r>
        <w:rPr>
          <w:color w:val="auto"/>
          <w:szCs w:val="20"/>
          <w:lang w:val="zh-TW" w:eastAsia="zh-TW" w:bidi="zh-TW"/>
        </w:rPr>
        <w:t>16:00</w:t>
      </w:r>
      <w:r>
        <w:rPr>
          <w:rFonts w:hint="eastAsia" w:ascii="宋体" w:hAnsi="宋体"/>
          <w:color w:val="auto"/>
          <w:sz w:val="18"/>
          <w:lang w:val="zh-TW" w:eastAsia="zh-TW" w:bidi="zh-TW"/>
        </w:rPr>
        <w:t>未</w:t>
      </w:r>
      <w:r>
        <w:rPr>
          <w:rFonts w:ascii="宋体" w:hAnsi="宋体"/>
          <w:color w:val="auto"/>
          <w:sz w:val="18"/>
          <w:lang w:val="zh-TW" w:eastAsia="zh-TW" w:bidi="zh-TW"/>
        </w:rPr>
        <w:t>经批准，不得擅自离开学校、夜不归宿，违者给予警告以上处分。因病、因事缺课或离校，须当面向辅导员请假并交假条，经辅导员同意、签名后将假条交至本班班长（纪检委员）处登记方可生效，学生身体康复或返校后立即向辅导员说明以销假。</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上课时，由本班班长（纪检委员）或课代表向任课教师出示医院证明和假条以说明情况，代为向任课教师请假。</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第二条双休日离校留宿在外请假细则</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家住南京市的学生周末请假回家，或探望亲戚、朋友的非本市学生周五完成规定课程后需离校的，须离校前到辅导员处登记请假，假条上应登记联系方式（地址、电话等）。周日下午</w:t>
      </w:r>
      <w:r>
        <w:rPr>
          <w:color w:val="auto"/>
          <w:szCs w:val="20"/>
          <w:lang w:val="zh-TW" w:eastAsia="zh-TW" w:bidi="zh-TW"/>
        </w:rPr>
        <w:t>6:30</w:t>
      </w:r>
      <w:r>
        <w:rPr>
          <w:rFonts w:ascii="宋体" w:hAnsi="宋体"/>
          <w:color w:val="auto"/>
          <w:sz w:val="18"/>
          <w:lang w:val="zh-TW" w:eastAsia="zh-TW" w:bidi="zh-TW"/>
        </w:rPr>
        <w:t>前返校，返校后凭假条回执到辅导员处销假，返校时间以销假时间为准。家在外地的学生双休日原则上一律不得回家，如有特殊情况须向辅导员申请。</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第三条大型节日（如五一、十一等）离校留宿在外请假细则</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重大节日离校的学生必须在放假前一天下午</w:t>
      </w:r>
      <w:r>
        <w:rPr>
          <w:color w:val="auto"/>
          <w:szCs w:val="20"/>
          <w:lang w:val="zh-TW" w:eastAsia="zh-TW" w:bidi="zh-TW"/>
        </w:rPr>
        <w:t>18:00</w:t>
      </w:r>
      <w:r>
        <w:rPr>
          <w:rFonts w:ascii="宋体" w:hAnsi="宋体"/>
          <w:color w:val="auto"/>
          <w:sz w:val="18"/>
          <w:lang w:val="zh-TW" w:eastAsia="zh-TW" w:bidi="zh-TW"/>
        </w:rPr>
        <w:t>之前，及时在奥蓝系统中登记，由学院辅导员在奥蓝系统审核后，方可离校。</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学生返校时间不得迟于假期最后一天下午</w:t>
      </w:r>
      <w:r>
        <w:rPr>
          <w:color w:val="auto"/>
          <w:szCs w:val="20"/>
          <w:lang w:val="zh-TW" w:eastAsia="zh-TW" w:bidi="zh-TW"/>
        </w:rPr>
        <w:t>18:00</w:t>
      </w:r>
      <w:r>
        <w:rPr>
          <w:rFonts w:hint="eastAsia" w:ascii="宋体" w:hAnsi="宋体"/>
          <w:color w:val="auto"/>
          <w:sz w:val="18"/>
          <w:lang w:val="zh-TW" w:eastAsia="zh-TW" w:bidi="zh-TW"/>
        </w:rPr>
        <w:t>，</w:t>
      </w:r>
      <w:r>
        <w:rPr>
          <w:rFonts w:ascii="宋体" w:hAnsi="宋体"/>
          <w:color w:val="auto"/>
          <w:sz w:val="18"/>
          <w:lang w:val="zh-TW" w:eastAsia="zh-TW" w:bidi="zh-TW"/>
        </w:rPr>
        <w:t>回校后，立即在奥蓝系统中登记，由学院辅导员在奥蓝系统审核后，方可销假。</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四条如请假期限已到，请假学生仍因病因事需再请假，必须再行请假手续；学生假期在家因身体严重不适或其他特殊情况无法按时返校者，应及时与辅导员联系，返校后凭医院证明或补假条向辅导员销假；否则一律视实际情况以旷课、无故离校处理。</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第五条三天以内的请假由辅导员批准，并报所在学院备案；请假四天以上的由学生所在学院报学校领导批准，凡越权批准一律无效。</w:t>
      </w:r>
    </w:p>
    <w:p>
      <w:pPr>
        <w:spacing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六条凡经批准请假回家的学生如旷课提前离校，请假一律视为无效，旷课时数按相关规定累计；凡出现学生夜不归宿的情况（当事人没有履行请假手续或不知去向），该宿舍寝室长或同学应该及时将情况告知辅导员，时间最迟不得超过</w:t>
      </w:r>
      <w:r>
        <w:rPr>
          <w:color w:val="auto"/>
          <w:szCs w:val="20"/>
          <w:lang w:val="zh-TW" w:eastAsia="zh-TW" w:bidi="zh-TW"/>
        </w:rPr>
        <w:t>24</w:t>
      </w:r>
      <w:r>
        <w:rPr>
          <w:rFonts w:ascii="宋体" w:hAnsi="宋体"/>
          <w:color w:val="auto"/>
          <w:sz w:val="18"/>
          <w:lang w:val="zh-TW" w:eastAsia="zh-TW" w:bidi="zh-TW"/>
        </w:rPr>
        <w:t>小时。旷课及夜不归宿者均按相关规定给予处分。</w:t>
      </w:r>
    </w:p>
    <w:p>
      <w:pPr>
        <w:spacing w:after="200" w:line="303" w:lineRule="exact"/>
        <w:ind w:firstLine="420"/>
        <w:jc w:val="both"/>
        <w:rPr>
          <w:rFonts w:ascii="宋体" w:hAnsi="宋体"/>
          <w:color w:val="auto"/>
          <w:sz w:val="18"/>
          <w:lang w:val="zh-TW" w:eastAsia="zh-TW" w:bidi="zh-TW"/>
        </w:rPr>
      </w:pPr>
      <w:r>
        <w:rPr>
          <w:rFonts w:ascii="宋体" w:hAnsi="宋体"/>
          <w:color w:val="auto"/>
          <w:sz w:val="18"/>
          <w:lang w:val="zh-TW" w:eastAsia="zh-TW" w:bidi="zh-TW"/>
        </w:rPr>
        <w:t>第七条本规定的解释权属学生工作处。</w:t>
      </w:r>
    </w:p>
    <w:p>
      <w:pPr>
        <w:rPr>
          <w:rFonts w:ascii="宋体" w:hAnsi="宋体" w:eastAsia="PMingLiU"/>
          <w:color w:val="auto"/>
          <w:sz w:val="18"/>
          <w:lang w:val="zh-TW" w:eastAsia="zh-TW" w:bidi="zh-TW"/>
        </w:rPr>
      </w:pPr>
      <w:r>
        <w:rPr>
          <w:rFonts w:ascii="宋体" w:hAnsi="宋体"/>
          <w:color w:val="auto"/>
          <w:sz w:val="18"/>
          <w:lang w:val="zh-TW" w:eastAsia="zh-TW" w:bidi="zh-TW"/>
        </w:rPr>
        <w:br w:type="page"/>
      </w:r>
    </w:p>
    <w:p>
      <w:pPr>
        <w:keepNext/>
        <w:keepLines/>
        <w:spacing w:after="300" w:line="703" w:lineRule="exact"/>
        <w:jc w:val="center"/>
        <w:outlineLvl w:val="0"/>
        <w:rPr>
          <w:rFonts w:ascii="宋体" w:hAnsi="宋体" w:eastAsia="PMingLiU"/>
          <w:color w:val="auto"/>
          <w:sz w:val="38"/>
          <w:szCs w:val="38"/>
          <w:lang w:val="zh-TW" w:eastAsia="zh-TW" w:bidi="zh-TW"/>
        </w:rPr>
      </w:pPr>
      <w:bookmarkStart w:id="446" w:name="bookmark794"/>
      <w:bookmarkStart w:id="447" w:name="bookmark795"/>
      <w:bookmarkStart w:id="448" w:name="bookmark796"/>
      <w:r>
        <w:rPr>
          <w:rFonts w:ascii="宋体" w:hAnsi="宋体"/>
          <w:color w:val="auto"/>
          <w:sz w:val="38"/>
          <w:szCs w:val="38"/>
          <w:highlight w:val="none"/>
          <w:lang w:val="zh-TW" w:eastAsia="zh-TW" w:bidi="zh-TW"/>
        </w:rPr>
        <w:t>南京航空航天大学金城学院</w:t>
      </w:r>
      <w:r>
        <w:rPr>
          <w:rFonts w:ascii="宋体" w:hAnsi="宋体"/>
          <w:color w:val="auto"/>
          <w:sz w:val="38"/>
          <w:szCs w:val="38"/>
          <w:highlight w:val="none"/>
          <w:lang w:val="zh-TW" w:eastAsia="zh-TW" w:bidi="zh-TW"/>
        </w:rPr>
        <w:br w:type="textWrapping"/>
      </w:r>
      <w:r>
        <w:rPr>
          <w:rFonts w:ascii="宋体" w:hAnsi="宋体"/>
          <w:color w:val="auto"/>
          <w:sz w:val="38"/>
          <w:szCs w:val="38"/>
          <w:highlight w:val="none"/>
          <w:lang w:val="zh-TW" w:eastAsia="zh-TW" w:bidi="zh-TW"/>
        </w:rPr>
        <w:t>学生宿舍个人计算机及上网管理办法</w:t>
      </w:r>
    </w:p>
    <w:p>
      <w:pPr>
        <w:keepNext/>
        <w:keepLines/>
        <w:spacing w:after="300"/>
        <w:jc w:val="center"/>
        <w:outlineLvl w:val="1"/>
        <w:rPr>
          <w:rFonts w:ascii="宋体" w:hAnsi="宋体"/>
          <w:color w:val="auto"/>
          <w:sz w:val="28"/>
          <w:szCs w:val="28"/>
          <w:lang w:val="zh-TW" w:eastAsia="zh-TW" w:bidi="zh-TW"/>
        </w:rPr>
      </w:pPr>
      <w:r>
        <w:rPr>
          <w:rFonts w:ascii="宋体" w:hAnsi="宋体"/>
          <w:color w:val="auto"/>
          <w:sz w:val="28"/>
          <w:szCs w:val="28"/>
          <w:lang w:val="zh-TW" w:eastAsia="zh-TW" w:bidi="zh-TW"/>
        </w:rPr>
        <w:t>第一章总则</w:t>
      </w:r>
      <w:bookmarkEnd w:id="446"/>
      <w:bookmarkEnd w:id="447"/>
      <w:bookmarkEnd w:id="448"/>
    </w:p>
    <w:p>
      <w:pPr>
        <w:spacing w:line="31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第一条为了加强我校学生宿舍个人计算机的管理，维护校园正常教学、生活秩序，根据国家有关法律法规，结合我校实际，特制订本办法。</w:t>
      </w:r>
    </w:p>
    <w:p>
      <w:pPr>
        <w:spacing w:after="380" w:line="317"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第二条本办法适用于我校学生在校内宿舍安装个人台式或笔记本计算机（以下统称</w:t>
      </w:r>
      <w:r>
        <w:rPr>
          <w:rFonts w:hint="eastAsia" w:ascii="宋体" w:hAnsi="宋体"/>
          <w:color w:val="auto"/>
          <w:sz w:val="18"/>
          <w:lang w:val="zh-TW" w:eastAsia="zh-TW" w:bidi="zh-TW"/>
        </w:rPr>
        <w:t>计算机</w:t>
      </w:r>
      <w:r>
        <w:rPr>
          <w:rFonts w:ascii="宋体" w:hAnsi="宋体"/>
          <w:color w:val="auto"/>
          <w:sz w:val="18"/>
          <w:lang w:val="zh-TW" w:eastAsia="zh-TW" w:bidi="zh-TW"/>
        </w:rPr>
        <w:t>）及使用校园网络。</w:t>
      </w:r>
    </w:p>
    <w:p>
      <w:pPr>
        <w:keepNext/>
        <w:keepLines/>
        <w:spacing w:after="300"/>
        <w:jc w:val="center"/>
        <w:outlineLvl w:val="1"/>
        <w:rPr>
          <w:rFonts w:ascii="宋体" w:hAnsi="宋体"/>
          <w:color w:val="auto"/>
          <w:sz w:val="28"/>
          <w:szCs w:val="28"/>
          <w:lang w:val="zh-TW" w:eastAsia="zh-TW" w:bidi="zh-TW"/>
        </w:rPr>
      </w:pPr>
      <w:bookmarkStart w:id="449" w:name="bookmark799"/>
      <w:bookmarkStart w:id="450" w:name="bookmark798"/>
      <w:bookmarkStart w:id="451" w:name="bookmark797"/>
      <w:r>
        <w:rPr>
          <w:rFonts w:ascii="宋体" w:hAnsi="宋体"/>
          <w:color w:val="auto"/>
          <w:sz w:val="28"/>
          <w:szCs w:val="28"/>
          <w:lang w:val="zh-TW" w:eastAsia="zh-TW" w:bidi="zh-TW"/>
        </w:rPr>
        <w:t>第二章个人计算机管理</w:t>
      </w:r>
      <w:bookmarkEnd w:id="449"/>
      <w:bookmarkEnd w:id="450"/>
      <w:bookmarkEnd w:id="451"/>
    </w:p>
    <w:p>
      <w:pPr>
        <w:spacing w:line="298" w:lineRule="exact"/>
        <w:ind w:firstLine="420"/>
        <w:rPr>
          <w:rFonts w:ascii="宋体" w:hAnsi="宋体"/>
          <w:color w:val="auto"/>
          <w:sz w:val="18"/>
          <w:lang w:val="zh-TW" w:eastAsia="zh-TW" w:bidi="zh-TW"/>
        </w:rPr>
      </w:pPr>
      <w:r>
        <w:rPr>
          <w:rFonts w:ascii="宋体" w:hAnsi="宋体"/>
          <w:color w:val="auto"/>
          <w:sz w:val="18"/>
          <w:lang w:val="zh-TW" w:eastAsia="zh-TW" w:bidi="zh-TW"/>
        </w:rPr>
        <w:t>第三条安装使用个人计算机的学生必须遵守国家的有关法律法规，合法使用计算机。</w:t>
      </w:r>
    </w:p>
    <w:p>
      <w:pPr>
        <w:spacing w:line="298"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第四条安装使用个人计算机的学生应当接受学校、学生工作处、</w:t>
      </w:r>
      <w:r>
        <w:rPr>
          <w:rFonts w:hint="eastAsia" w:ascii="宋体" w:hAnsi="宋体"/>
          <w:color w:val="auto"/>
          <w:sz w:val="18"/>
          <w:lang w:val="zh-TW" w:eastAsia="zh-CN" w:bidi="zh-TW"/>
        </w:rPr>
        <w:t>后勤保卫处</w:t>
      </w:r>
      <w:r>
        <w:rPr>
          <w:rFonts w:ascii="宋体" w:hAnsi="宋体"/>
          <w:color w:val="auto"/>
          <w:sz w:val="18"/>
          <w:lang w:val="zh-TW" w:eastAsia="zh-TW" w:bidi="zh-TW"/>
        </w:rPr>
        <w:t>、信息档案中心、宿舍管理部门的安全监督、检查和指导，上述部门有权对违纪使用的学生取消计算机使用及上网资格。宿舍管理部门发现学生将计算机搬出宿舍区，必须检查其身份证，并</w:t>
      </w:r>
      <w:r>
        <w:rPr>
          <w:rFonts w:hint="eastAsia" w:ascii="宋体" w:hAnsi="宋体"/>
          <w:color w:val="auto"/>
          <w:sz w:val="18"/>
          <w:lang w:val="zh-TW" w:eastAsia="zh-TW" w:bidi="zh-TW"/>
        </w:rPr>
        <w:t>做好</w:t>
      </w:r>
      <w:r>
        <w:rPr>
          <w:rFonts w:ascii="宋体" w:hAnsi="宋体"/>
          <w:color w:val="auto"/>
          <w:sz w:val="18"/>
          <w:lang w:val="zh-TW" w:eastAsia="zh-TW" w:bidi="zh-TW"/>
        </w:rPr>
        <w:t>登记。</w:t>
      </w:r>
    </w:p>
    <w:p>
      <w:pPr>
        <w:spacing w:after="380" w:line="298"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五条学生宿舍内可能会因某些不可避免的客观原因出现临时停电、突然停电、过载电流、低压电流现象，造成学生宿舍内个人计算机信息丢失，硬件损坏等后果，学校不承担责任。作为贵重物品，学生必须妥善保管好自己的计算机，如发现失窃等情况，应及时报告</w:t>
      </w:r>
      <w:r>
        <w:rPr>
          <w:rFonts w:hint="eastAsia" w:ascii="宋体" w:hAnsi="宋体"/>
          <w:color w:val="auto"/>
          <w:sz w:val="18"/>
          <w:lang w:val="zh-TW" w:eastAsia="zh-CN" w:bidi="zh-TW"/>
        </w:rPr>
        <w:t>后勤保卫处</w:t>
      </w:r>
      <w:r>
        <w:rPr>
          <w:rFonts w:ascii="宋体" w:hAnsi="宋体"/>
          <w:color w:val="auto"/>
          <w:sz w:val="18"/>
          <w:lang w:val="zh-TW" w:eastAsia="zh-TW" w:bidi="zh-TW"/>
        </w:rPr>
        <w:t>和公安部门。</w:t>
      </w:r>
    </w:p>
    <w:p>
      <w:pPr>
        <w:keepNext/>
        <w:keepLines/>
        <w:spacing w:after="300"/>
        <w:jc w:val="center"/>
        <w:outlineLvl w:val="1"/>
        <w:rPr>
          <w:rFonts w:ascii="宋体" w:hAnsi="宋体"/>
          <w:color w:val="auto"/>
          <w:sz w:val="28"/>
          <w:szCs w:val="28"/>
          <w:lang w:val="zh-TW" w:eastAsia="zh-TW" w:bidi="zh-TW"/>
        </w:rPr>
      </w:pPr>
      <w:bookmarkStart w:id="452" w:name="bookmark802"/>
      <w:bookmarkStart w:id="453" w:name="bookmark801"/>
      <w:bookmarkStart w:id="454" w:name="bookmark800"/>
      <w:r>
        <w:rPr>
          <w:rFonts w:ascii="宋体" w:hAnsi="宋体"/>
          <w:color w:val="auto"/>
          <w:sz w:val="28"/>
          <w:szCs w:val="28"/>
          <w:lang w:val="zh-TW" w:eastAsia="zh-TW" w:bidi="zh-TW"/>
        </w:rPr>
        <w:t>第三章上网管理</w:t>
      </w:r>
      <w:bookmarkEnd w:id="452"/>
      <w:bookmarkEnd w:id="453"/>
      <w:bookmarkEnd w:id="454"/>
    </w:p>
    <w:p>
      <w:pPr>
        <w:spacing w:line="31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第六条学校全面覆盖有线及无线网络，学生上网实行实名制认证管理，实现全校无线漫游。</w:t>
      </w:r>
    </w:p>
    <w:p>
      <w:pPr>
        <w:spacing w:line="269"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第七条学校信息档案中心负责学生上网审核、账号分配及相关网络服务工作，因学生个人计算机问题造成不能上网的情况，由学生本人自行处理。</w:t>
      </w:r>
    </w:p>
    <w:p>
      <w:pPr>
        <w:spacing w:line="299"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第八条学生宿舍上网所需的计算机、网卡、网线等相关设备及上网费用由本人自理。</w:t>
      </w:r>
    </w:p>
    <w:p>
      <w:pPr>
        <w:spacing w:after="160" w:line="299"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九条个人计算机必须安装网络杀毒软件，在使用计算机上网时，必须遵守公安部发布的《计算机信息网络国际联网安全保护管理办法》，严禁登陆非法网站和不健康的网站；严禁在网上捏造或歪曲事实、散步谣言，扰乱社会秩序和校园秩序，公然侮辱他人或捏造事实诽谤他人等行为；严禁在计算机上查阅、调用、复制、传播反动和非法的录像制品、刊物和计算机软件；严禁擅自利用学校资源对外提供各种网络信息服务谋取私人利益，如私设网站、私设网络论坛、私设代理服务器等；严禁使用他人账号通过代理上网；严禁私自接入校园网以外的其他运营商网络；严禁在宿舍私建局域网。</w:t>
      </w:r>
    </w:p>
    <w:p>
      <w:pPr>
        <w:keepNext/>
        <w:keepLines/>
        <w:spacing w:after="300"/>
        <w:jc w:val="center"/>
        <w:outlineLvl w:val="1"/>
        <w:rPr>
          <w:rFonts w:ascii="宋体" w:hAnsi="宋体"/>
          <w:color w:val="auto"/>
          <w:sz w:val="28"/>
          <w:szCs w:val="28"/>
          <w:lang w:val="zh-TW" w:eastAsia="zh-TW" w:bidi="zh-TW"/>
        </w:rPr>
      </w:pPr>
      <w:bookmarkStart w:id="455" w:name="bookmark803"/>
      <w:bookmarkStart w:id="456" w:name="bookmark805"/>
      <w:bookmarkStart w:id="457" w:name="bookmark804"/>
      <w:r>
        <w:rPr>
          <w:rFonts w:ascii="宋体" w:hAnsi="宋体"/>
          <w:color w:val="auto"/>
          <w:sz w:val="28"/>
          <w:szCs w:val="28"/>
          <w:lang w:val="zh-TW" w:eastAsia="zh-TW" w:bidi="zh-TW"/>
        </w:rPr>
        <w:t>第四章违纪责任</w:t>
      </w:r>
      <w:bookmarkEnd w:id="455"/>
      <w:bookmarkEnd w:id="456"/>
      <w:bookmarkEnd w:id="457"/>
    </w:p>
    <w:p>
      <w:pPr>
        <w:spacing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第十条凡违反学校个人计算机及上网管理规定者除取消计算机安装使用和校园网络使用资格外，还得承担相应的法律责任并接受《南京航空航天大学金城学院学生违纪处分办法》的处分。</w:t>
      </w:r>
    </w:p>
    <w:p>
      <w:pPr>
        <w:spacing w:after="80" w:line="302" w:lineRule="exact"/>
        <w:ind w:firstLine="440"/>
        <w:jc w:val="both"/>
        <w:rPr>
          <w:rFonts w:ascii="宋体" w:hAnsi="宋体"/>
          <w:color w:val="auto"/>
          <w:sz w:val="18"/>
          <w:lang w:val="zh-TW" w:eastAsia="zh-TW" w:bidi="zh-TW"/>
        </w:rPr>
      </w:pPr>
      <w:r>
        <w:rPr>
          <w:rFonts w:ascii="宋体" w:hAnsi="宋体"/>
          <w:color w:val="auto"/>
          <w:sz w:val="18"/>
          <w:lang w:val="zh-TW" w:eastAsia="zh-TW" w:bidi="zh-TW"/>
        </w:rPr>
        <w:t>第十一条有下列行为或情况者，取消安装使用个人计算机的资格：</w:t>
      </w:r>
    </w:p>
    <w:p>
      <w:pPr>
        <w:spacing w:line="322" w:lineRule="auto"/>
        <w:ind w:firstLine="440"/>
        <w:jc w:val="both"/>
        <w:rPr>
          <w:rFonts w:ascii="宋体" w:hAnsi="宋体"/>
          <w:color w:val="auto"/>
          <w:sz w:val="18"/>
          <w:lang w:val="zh-TW" w:eastAsia="zh-TW" w:bidi="zh-TW"/>
        </w:rPr>
      </w:pPr>
      <w:bookmarkStart w:id="458" w:name="bookmark806"/>
      <w:r>
        <w:rPr>
          <w:color w:val="auto"/>
          <w:szCs w:val="20"/>
          <w:lang w:val="zh-TW" w:eastAsia="zh-TW" w:bidi="zh-TW"/>
        </w:rPr>
        <w:t>1</w:t>
      </w:r>
      <w:bookmarkEnd w:id="458"/>
      <w:r>
        <w:rPr>
          <w:rFonts w:hint="eastAsia"/>
          <w:color w:val="auto"/>
          <w:lang w:val="zh-TW" w:eastAsia="zh-CN" w:bidi="zh-TW"/>
        </w:rPr>
        <w:t>.</w:t>
      </w:r>
      <w:r>
        <w:rPr>
          <w:rFonts w:ascii="宋体" w:hAnsi="宋体"/>
          <w:color w:val="auto"/>
          <w:sz w:val="18"/>
          <w:lang w:val="zh-TW" w:eastAsia="zh-TW" w:bidi="zh-TW"/>
        </w:rPr>
        <w:t>学习时间（周一</w:t>
      </w:r>
      <w:r>
        <w:rPr>
          <w:rFonts w:hint="eastAsia" w:ascii="宋体" w:hAnsi="宋体"/>
          <w:color w:val="auto"/>
          <w:sz w:val="18"/>
          <w:lang w:val="zh-TW" w:eastAsia="zh-TW" w:bidi="zh-TW"/>
        </w:rPr>
        <w:t>至</w:t>
      </w:r>
      <w:r>
        <w:rPr>
          <w:rFonts w:ascii="宋体" w:hAnsi="宋体"/>
          <w:color w:val="auto"/>
          <w:sz w:val="18"/>
          <w:lang w:val="zh-TW" w:eastAsia="zh-TW" w:bidi="zh-TW"/>
        </w:rPr>
        <w:t>周五的</w:t>
      </w:r>
      <w:r>
        <w:rPr>
          <w:color w:val="auto"/>
          <w:szCs w:val="20"/>
          <w:lang w:val="zh-TW" w:eastAsia="zh-TW" w:bidi="zh-TW"/>
        </w:rPr>
        <w:t>8:40</w:t>
      </w:r>
      <w:r>
        <w:rPr>
          <w:color w:val="auto"/>
          <w:szCs w:val="20"/>
          <w:lang w:val="zh-CN" w:eastAsia="zh-CN" w:bidi="zh-CN"/>
        </w:rPr>
        <w:t>-</w:t>
      </w:r>
      <w:r>
        <w:rPr>
          <w:color w:val="auto"/>
          <w:szCs w:val="20"/>
          <w:lang w:val="zh-TW" w:eastAsia="zh-TW" w:bidi="zh-TW"/>
        </w:rPr>
        <w:t>12:00</w:t>
      </w:r>
      <w:r>
        <w:rPr>
          <w:rFonts w:ascii="宋体" w:hAnsi="宋体"/>
          <w:color w:val="auto"/>
          <w:szCs w:val="20"/>
          <w:lang w:val="zh-TW" w:eastAsia="zh-TW" w:bidi="zh-TW"/>
        </w:rPr>
        <w:t>；</w:t>
      </w:r>
      <w:r>
        <w:rPr>
          <w:color w:val="auto"/>
          <w:szCs w:val="20"/>
          <w:lang w:val="zh-TW" w:eastAsia="zh-TW" w:bidi="zh-TW"/>
        </w:rPr>
        <w:t>14:00</w:t>
      </w:r>
      <w:r>
        <w:rPr>
          <w:color w:val="auto"/>
          <w:szCs w:val="20"/>
          <w:lang w:val="zh-CN" w:eastAsia="zh-CN" w:bidi="zh-CN"/>
        </w:rPr>
        <w:t>-</w:t>
      </w:r>
      <w:r>
        <w:rPr>
          <w:color w:val="auto"/>
          <w:szCs w:val="20"/>
          <w:lang w:val="zh-TW" w:eastAsia="zh-TW" w:bidi="zh-TW"/>
        </w:rPr>
        <w:t>16:00</w:t>
      </w:r>
      <w:r>
        <w:rPr>
          <w:rFonts w:ascii="宋体" w:hAnsi="宋体"/>
          <w:color w:val="auto"/>
          <w:szCs w:val="20"/>
          <w:lang w:val="zh-TW" w:eastAsia="zh-TW" w:bidi="zh-TW"/>
        </w:rPr>
        <w:t>；</w:t>
      </w:r>
      <w:r>
        <w:rPr>
          <w:rFonts w:ascii="宋体" w:hAnsi="宋体"/>
          <w:color w:val="auto"/>
          <w:sz w:val="18"/>
          <w:lang w:val="zh-TW" w:eastAsia="zh-TW" w:bidi="zh-TW"/>
        </w:rPr>
        <w:t>周日</w:t>
      </w:r>
      <w:r>
        <w:rPr>
          <w:rFonts w:hint="eastAsia" w:ascii="宋体" w:hAnsi="宋体"/>
          <w:color w:val="auto"/>
          <w:sz w:val="18"/>
          <w:lang w:val="zh-TW" w:eastAsia="zh-TW" w:bidi="zh-TW"/>
        </w:rPr>
        <w:t>至</w:t>
      </w:r>
      <w:r>
        <w:rPr>
          <w:rFonts w:ascii="宋体" w:hAnsi="宋体"/>
          <w:color w:val="auto"/>
          <w:sz w:val="18"/>
          <w:lang w:val="zh-TW" w:eastAsia="zh-TW" w:bidi="zh-TW"/>
        </w:rPr>
        <w:t>周四的晚上</w:t>
      </w:r>
      <w:r>
        <w:rPr>
          <w:color w:val="auto"/>
          <w:szCs w:val="20"/>
          <w:lang w:val="zh-TW" w:eastAsia="zh-TW" w:bidi="zh-TW"/>
        </w:rPr>
        <w:t>18:30</w:t>
      </w:r>
      <w:r>
        <w:rPr>
          <w:color w:val="auto"/>
          <w:szCs w:val="20"/>
          <w:lang w:val="zh-CN" w:eastAsia="zh-CN" w:bidi="zh-CN"/>
        </w:rPr>
        <w:t>-</w:t>
      </w:r>
      <w:r>
        <w:rPr>
          <w:color w:val="auto"/>
          <w:szCs w:val="20"/>
          <w:lang w:val="zh-TW" w:eastAsia="zh-TW" w:bidi="zh-TW"/>
        </w:rPr>
        <w:t>20:00</w:t>
      </w:r>
      <w:r>
        <w:rPr>
          <w:rFonts w:ascii="宋体" w:hAnsi="宋体"/>
          <w:color w:val="auto"/>
          <w:sz w:val="18"/>
          <w:szCs w:val="20"/>
          <w:lang w:val="zh-TW" w:eastAsia="zh-TW" w:bidi="zh-TW"/>
        </w:rPr>
        <w:t>）</w:t>
      </w:r>
      <w:r>
        <w:rPr>
          <w:rFonts w:ascii="宋体" w:hAnsi="宋体"/>
          <w:color w:val="auto"/>
          <w:sz w:val="18"/>
          <w:lang w:val="zh-TW" w:eastAsia="zh-TW" w:bidi="zh-TW"/>
        </w:rPr>
        <w:t>内，本人或借给他人使用计算机从事与学习无关活动的；</w:t>
      </w:r>
    </w:p>
    <w:p>
      <w:pPr>
        <w:spacing w:line="322" w:lineRule="auto"/>
        <w:ind w:firstLine="440"/>
        <w:jc w:val="both"/>
        <w:rPr>
          <w:rFonts w:ascii="宋体" w:hAnsi="宋体"/>
          <w:color w:val="auto"/>
          <w:sz w:val="18"/>
          <w:lang w:val="zh-TW" w:eastAsia="zh-TW" w:bidi="zh-TW"/>
        </w:rPr>
      </w:pPr>
      <w:r>
        <w:rPr>
          <w:color w:val="auto"/>
          <w:szCs w:val="20"/>
          <w:lang w:val="zh-TW" w:eastAsia="zh-TW" w:bidi="zh-TW"/>
        </w:rPr>
        <w:t>2</w:t>
      </w:r>
      <w:r>
        <w:rPr>
          <w:rFonts w:hint="eastAsia"/>
          <w:color w:val="auto"/>
          <w:lang w:val="zh-TW" w:eastAsia="zh-CN" w:bidi="zh-TW"/>
        </w:rPr>
        <w:t>.</w:t>
      </w:r>
      <w:r>
        <w:rPr>
          <w:rFonts w:ascii="宋体" w:hAnsi="宋体"/>
          <w:color w:val="auto"/>
          <w:sz w:val="18"/>
          <w:lang w:val="zh-TW" w:eastAsia="zh-TW" w:bidi="zh-TW"/>
        </w:rPr>
        <w:t>因本人或借给他人使用计算机妨碍他人学习和休息的；</w:t>
      </w:r>
    </w:p>
    <w:p>
      <w:pPr>
        <w:spacing w:line="322" w:lineRule="auto"/>
        <w:ind w:firstLine="440"/>
        <w:jc w:val="both"/>
        <w:rPr>
          <w:rFonts w:ascii="宋体" w:hAnsi="宋体"/>
          <w:color w:val="auto"/>
          <w:sz w:val="18"/>
          <w:lang w:val="zh-TW" w:eastAsia="zh-TW" w:bidi="zh-TW"/>
        </w:rPr>
      </w:pPr>
      <w:bookmarkStart w:id="459" w:name="bookmark808"/>
      <w:r>
        <w:rPr>
          <w:color w:val="auto"/>
          <w:szCs w:val="20"/>
          <w:lang w:val="zh-TW" w:eastAsia="zh-TW" w:bidi="zh-TW"/>
        </w:rPr>
        <w:t>3</w:t>
      </w:r>
      <w:bookmarkEnd w:id="459"/>
      <w:r>
        <w:rPr>
          <w:rFonts w:hint="eastAsia"/>
          <w:color w:val="auto"/>
          <w:lang w:val="zh-TW" w:eastAsia="zh-CN" w:bidi="zh-TW"/>
        </w:rPr>
        <w:t>.</w:t>
      </w:r>
      <w:r>
        <w:rPr>
          <w:rFonts w:ascii="宋体" w:hAnsi="宋体"/>
          <w:color w:val="auto"/>
          <w:sz w:val="18"/>
          <w:lang w:val="zh-TW" w:eastAsia="zh-TW" w:bidi="zh-TW"/>
        </w:rPr>
        <w:t>安装使用个人计算机、开通网络后造成学习成绩下降</w:t>
      </w:r>
      <w:r>
        <w:rPr>
          <w:rFonts w:hint="eastAsia" w:ascii="宋体" w:hAnsi="宋体"/>
          <w:color w:val="auto"/>
          <w:sz w:val="18"/>
          <w:lang w:val="zh-TW" w:eastAsia="zh-CN" w:bidi="zh-TW"/>
        </w:rPr>
        <w:t>的</w:t>
      </w:r>
      <w:r>
        <w:rPr>
          <w:rFonts w:ascii="宋体" w:hAnsi="宋体"/>
          <w:color w:val="auto"/>
          <w:sz w:val="18"/>
          <w:lang w:val="zh-TW" w:eastAsia="zh-TW" w:bidi="zh-TW"/>
        </w:rPr>
        <w:t>；</w:t>
      </w:r>
    </w:p>
    <w:p>
      <w:pPr>
        <w:spacing w:line="322" w:lineRule="auto"/>
        <w:ind w:firstLine="442"/>
        <w:jc w:val="both"/>
        <w:rPr>
          <w:rFonts w:ascii="宋体" w:hAnsi="宋体"/>
          <w:color w:val="auto"/>
          <w:sz w:val="18"/>
          <w:lang w:val="zh-TW" w:eastAsia="zh-TW" w:bidi="zh-TW"/>
        </w:rPr>
      </w:pPr>
      <w:bookmarkStart w:id="460" w:name="bookmark809"/>
      <w:r>
        <w:rPr>
          <w:color w:val="auto"/>
          <w:szCs w:val="20"/>
          <w:lang w:val="zh-TW" w:eastAsia="zh-TW" w:bidi="zh-TW"/>
        </w:rPr>
        <w:t>4</w:t>
      </w:r>
      <w:bookmarkEnd w:id="460"/>
      <w:r>
        <w:rPr>
          <w:color w:val="auto"/>
          <w:lang w:val="zh-TW" w:eastAsia="zh-TW" w:bidi="zh-TW"/>
        </w:rPr>
        <w:t>.</w:t>
      </w:r>
      <w:r>
        <w:rPr>
          <w:rFonts w:ascii="宋体" w:hAnsi="宋体"/>
          <w:color w:val="auto"/>
          <w:sz w:val="18"/>
          <w:lang w:val="zh-TW" w:eastAsia="zh-TW" w:bidi="zh-TW"/>
        </w:rPr>
        <w:t>不配合学校有关部门检査、监督和指导的；</w:t>
      </w:r>
    </w:p>
    <w:p>
      <w:pPr>
        <w:spacing w:line="322" w:lineRule="auto"/>
        <w:ind w:firstLine="442"/>
        <w:jc w:val="both"/>
        <w:rPr>
          <w:rFonts w:ascii="宋体" w:hAnsi="宋体"/>
          <w:color w:val="auto"/>
          <w:sz w:val="18"/>
          <w:lang w:val="zh-TW" w:eastAsia="zh-TW" w:bidi="zh-TW"/>
        </w:rPr>
      </w:pPr>
      <w:bookmarkStart w:id="461" w:name="bookmark810"/>
      <w:r>
        <w:rPr>
          <w:color w:val="auto"/>
          <w:szCs w:val="20"/>
          <w:lang w:val="zh-TW" w:eastAsia="zh-TW" w:bidi="zh-TW"/>
        </w:rPr>
        <w:t>5</w:t>
      </w:r>
      <w:bookmarkEnd w:id="461"/>
      <w:r>
        <w:rPr>
          <w:rFonts w:hint="eastAsia"/>
          <w:color w:val="auto"/>
          <w:lang w:val="zh-TW" w:eastAsia="zh-CN" w:bidi="zh-TW"/>
        </w:rPr>
        <w:t>.</w:t>
      </w:r>
      <w:r>
        <w:rPr>
          <w:rFonts w:ascii="宋体" w:hAnsi="宋体"/>
          <w:color w:val="auto"/>
          <w:sz w:val="18"/>
          <w:lang w:val="zh-TW" w:eastAsia="zh-TW" w:bidi="zh-TW"/>
        </w:rPr>
        <w:t>他人借用计算机过程中发生了违法、违纪使用计算机行为，取消计算机持有人的安装使用资格并与使用者共同承担相应的责任；</w:t>
      </w:r>
    </w:p>
    <w:p>
      <w:pPr>
        <w:spacing w:line="322" w:lineRule="auto"/>
        <w:ind w:firstLine="440"/>
        <w:jc w:val="both"/>
        <w:rPr>
          <w:rFonts w:ascii="宋体" w:hAnsi="宋体"/>
          <w:color w:val="auto"/>
          <w:sz w:val="18"/>
          <w:lang w:val="zh-TW" w:eastAsia="zh-TW" w:bidi="zh-TW"/>
        </w:rPr>
      </w:pPr>
      <w:bookmarkStart w:id="462" w:name="bookmark811"/>
      <w:r>
        <w:rPr>
          <w:color w:val="auto"/>
          <w:szCs w:val="20"/>
          <w:lang w:val="zh-TW" w:eastAsia="zh-TW" w:bidi="zh-TW"/>
        </w:rPr>
        <w:t>6</w:t>
      </w:r>
      <w:bookmarkEnd w:id="462"/>
      <w:r>
        <w:rPr>
          <w:color w:val="auto"/>
          <w:lang w:val="zh-TW" w:eastAsia="zh-TW" w:bidi="zh-TW"/>
        </w:rPr>
        <w:t>.</w:t>
      </w:r>
      <w:r>
        <w:rPr>
          <w:rFonts w:ascii="宋体" w:hAnsi="宋体"/>
          <w:color w:val="auto"/>
          <w:sz w:val="18"/>
          <w:lang w:val="zh-TW" w:eastAsia="zh-TW" w:bidi="zh-TW"/>
        </w:rPr>
        <w:t>在宿舍之间私拉网线，私自组建局域网</w:t>
      </w:r>
      <w:r>
        <w:rPr>
          <w:rFonts w:hint="eastAsia" w:ascii="宋体" w:hAnsi="宋体"/>
          <w:color w:val="auto"/>
          <w:sz w:val="18"/>
          <w:lang w:val="zh-TW" w:eastAsia="zh-TW" w:bidi="zh-TW"/>
        </w:rPr>
        <w:t>的</w:t>
      </w:r>
      <w:r>
        <w:rPr>
          <w:rFonts w:ascii="宋体" w:hAnsi="宋体"/>
          <w:color w:val="auto"/>
          <w:sz w:val="18"/>
          <w:lang w:val="zh-TW" w:eastAsia="zh-TW" w:bidi="zh-TW"/>
        </w:rPr>
        <w:t>；</w:t>
      </w:r>
    </w:p>
    <w:p>
      <w:pPr>
        <w:spacing w:after="300" w:line="322" w:lineRule="auto"/>
        <w:ind w:firstLine="440"/>
        <w:jc w:val="both"/>
        <w:rPr>
          <w:rFonts w:ascii="宋体" w:hAnsi="宋体"/>
          <w:color w:val="auto"/>
          <w:sz w:val="18"/>
          <w:lang w:val="zh-TW" w:eastAsia="zh-TW" w:bidi="zh-TW"/>
        </w:rPr>
      </w:pPr>
      <w:bookmarkStart w:id="463" w:name="bookmark812"/>
      <w:r>
        <w:rPr>
          <w:color w:val="auto"/>
          <w:szCs w:val="20"/>
          <w:lang w:val="zh-TW" w:eastAsia="zh-TW" w:bidi="zh-TW"/>
        </w:rPr>
        <w:t>7</w:t>
      </w:r>
      <w:bookmarkEnd w:id="463"/>
      <w:r>
        <w:rPr>
          <w:rFonts w:hint="eastAsia"/>
          <w:color w:val="auto"/>
          <w:lang w:val="zh-TW" w:eastAsia="zh-CN" w:bidi="zh-TW"/>
        </w:rPr>
        <w:t>.</w:t>
      </w:r>
      <w:r>
        <w:rPr>
          <w:rFonts w:ascii="宋体" w:hAnsi="宋体"/>
          <w:color w:val="auto"/>
          <w:sz w:val="18"/>
          <w:lang w:val="zh-TW" w:eastAsia="zh-TW" w:bidi="zh-TW"/>
        </w:rPr>
        <w:t>所在学院认为不适宜继续在宿舍安装使用个人计算机的。</w:t>
      </w:r>
    </w:p>
    <w:p>
      <w:pPr>
        <w:keepNext/>
        <w:keepLines/>
        <w:spacing w:after="400"/>
        <w:jc w:val="center"/>
        <w:outlineLvl w:val="1"/>
        <w:rPr>
          <w:rFonts w:ascii="宋体" w:hAnsi="宋体"/>
          <w:color w:val="auto"/>
          <w:sz w:val="28"/>
          <w:szCs w:val="28"/>
          <w:lang w:val="zh-TW" w:eastAsia="zh-TW" w:bidi="zh-TW"/>
        </w:rPr>
      </w:pPr>
      <w:bookmarkStart w:id="464" w:name="bookmark815"/>
      <w:bookmarkStart w:id="465" w:name="bookmark813"/>
      <w:bookmarkStart w:id="466" w:name="bookmark814"/>
      <w:r>
        <w:rPr>
          <w:rFonts w:ascii="宋体" w:hAnsi="宋体"/>
          <w:color w:val="auto"/>
          <w:sz w:val="28"/>
          <w:szCs w:val="28"/>
          <w:lang w:val="zh-TW" w:eastAsia="zh-TW" w:bidi="zh-TW"/>
        </w:rPr>
        <w:t>第五章附则</w:t>
      </w:r>
      <w:bookmarkEnd w:id="464"/>
      <w:bookmarkEnd w:id="465"/>
      <w:bookmarkEnd w:id="466"/>
    </w:p>
    <w:p>
      <w:pPr>
        <w:spacing w:after="80"/>
        <w:ind w:firstLine="420"/>
        <w:jc w:val="both"/>
        <w:rPr>
          <w:rFonts w:ascii="宋体" w:hAnsi="宋体"/>
          <w:color w:val="auto"/>
          <w:sz w:val="18"/>
          <w:lang w:val="zh-TW" w:eastAsia="zh-TW" w:bidi="zh-TW"/>
        </w:rPr>
      </w:pPr>
      <w:r>
        <w:rPr>
          <w:rFonts w:ascii="宋体" w:hAnsi="宋体"/>
          <w:color w:val="auto"/>
          <w:sz w:val="18"/>
          <w:lang w:val="zh-TW" w:eastAsia="zh-TW" w:bidi="zh-TW"/>
        </w:rPr>
        <w:t>第十二条本办法自发布之日起执行。</w:t>
      </w:r>
    </w:p>
    <w:p>
      <w:pPr>
        <w:spacing w:after="180"/>
        <w:ind w:firstLine="420"/>
        <w:jc w:val="both"/>
        <w:rPr>
          <w:rFonts w:ascii="宋体" w:hAnsi="宋体"/>
          <w:color w:val="auto"/>
          <w:sz w:val="18"/>
          <w:lang w:val="zh-TW" w:eastAsia="zh-TW" w:bidi="zh-TW"/>
        </w:rPr>
      </w:pPr>
      <w:r>
        <w:rPr>
          <w:rFonts w:ascii="宋体" w:hAnsi="宋体"/>
          <w:color w:val="auto"/>
          <w:sz w:val="18"/>
          <w:lang w:val="zh-TW" w:eastAsia="zh-TW" w:bidi="zh-TW"/>
        </w:rPr>
        <w:t>第十三条本办法解释权属学生工作处和信息档案中心。</w:t>
      </w:r>
    </w:p>
    <w:p>
      <w:pPr>
        <w:rPr>
          <w:rFonts w:ascii="宋体" w:hAnsi="宋体"/>
          <w:color w:val="auto"/>
          <w:sz w:val="18"/>
          <w:lang w:val="zh-TW" w:eastAsia="zh-TW" w:bidi="zh-TW"/>
        </w:rPr>
      </w:pPr>
      <w:r>
        <w:rPr>
          <w:rFonts w:ascii="宋体" w:hAnsi="宋体"/>
          <w:color w:val="auto"/>
          <w:sz w:val="18"/>
          <w:lang w:val="zh-TW" w:eastAsia="zh-TW" w:bidi="zh-TW"/>
        </w:rPr>
        <w:br w:type="page"/>
      </w:r>
    </w:p>
    <w:bookmarkEnd w:id="328"/>
    <w:bookmarkEnd w:id="329"/>
    <w:bookmarkEnd w:id="330"/>
    <w:p>
      <w:pPr>
        <w:pStyle w:val="12"/>
        <w:keepNext/>
        <w:keepLines/>
        <w:spacing w:before="0" w:after="320" w:line="586" w:lineRule="exact"/>
        <w:rPr>
          <w:color w:val="auto"/>
          <w:highlight w:val="none"/>
        </w:rPr>
      </w:pPr>
      <w:bookmarkStart w:id="467" w:name="bookmark819"/>
      <w:r>
        <w:rPr>
          <w:rFonts w:hint="eastAsia"/>
          <w:color w:val="auto"/>
          <w:highlight w:val="none"/>
        </w:rPr>
        <w:t>南京航空航天大学金城学院</w:t>
      </w:r>
      <w:r>
        <w:rPr>
          <w:color w:val="auto"/>
          <w:highlight w:val="none"/>
        </w:rPr>
        <w:br w:type="textWrapping"/>
      </w:r>
      <w:r>
        <w:rPr>
          <w:rFonts w:hint="eastAsia"/>
          <w:color w:val="auto"/>
          <w:highlight w:val="none"/>
        </w:rPr>
        <w:t>学生离校手续办理暂行规定</w:t>
      </w:r>
    </w:p>
    <w:p>
      <w:pPr>
        <w:pStyle w:val="14"/>
        <w:spacing w:line="331" w:lineRule="exact"/>
        <w:ind w:firstLine="440"/>
        <w:jc w:val="both"/>
        <w:rPr>
          <w:color w:val="auto"/>
        </w:rPr>
      </w:pPr>
      <w:r>
        <w:rPr>
          <w:color w:val="auto"/>
        </w:rPr>
        <w:t>一</w:t>
      </w:r>
      <w:bookmarkEnd w:id="467"/>
      <w:r>
        <w:rPr>
          <w:color w:val="auto"/>
        </w:rPr>
        <w:t>、毕业班学生须在学校规定的离校时间的前三天内全部办理完手续并离校，如因特殊原因不能按时离校者需申请。</w:t>
      </w:r>
    </w:p>
    <w:p>
      <w:pPr>
        <w:pStyle w:val="14"/>
        <w:spacing w:line="306" w:lineRule="exact"/>
        <w:ind w:firstLine="440"/>
        <w:jc w:val="both"/>
        <w:rPr>
          <w:color w:val="auto"/>
        </w:rPr>
      </w:pPr>
      <w:bookmarkStart w:id="468" w:name="bookmark820"/>
      <w:r>
        <w:rPr>
          <w:color w:val="auto"/>
        </w:rPr>
        <w:t>二</w:t>
      </w:r>
      <w:bookmarkEnd w:id="468"/>
      <w:r>
        <w:rPr>
          <w:color w:val="auto"/>
        </w:rPr>
        <w:t>、学生毕业或中途因故离校，有关部门应事先通知公寓服务部，由管理员验收宿舍设备及家具，待有关人员按宿舍设备清单检查验收，清查无误，完好无损后，方可办理。如有丢失损坏，按物品管理办法，照价赔偿。</w:t>
      </w:r>
    </w:p>
    <w:p>
      <w:pPr>
        <w:pStyle w:val="14"/>
        <w:spacing w:line="306" w:lineRule="exact"/>
        <w:ind w:firstLine="440"/>
        <w:jc w:val="both"/>
        <w:rPr>
          <w:color w:val="auto"/>
        </w:rPr>
      </w:pPr>
      <w:bookmarkStart w:id="469" w:name="bookmark821"/>
      <w:r>
        <w:rPr>
          <w:color w:val="auto"/>
        </w:rPr>
        <w:t>三</w:t>
      </w:r>
      <w:bookmarkEnd w:id="469"/>
      <w:r>
        <w:rPr>
          <w:color w:val="auto"/>
        </w:rPr>
        <w:t>、离校者办完离校手续后，需在三天内搬出，若仍滞留在原宿舍者将按有关规定处理。</w:t>
      </w:r>
    </w:p>
    <w:p>
      <w:pPr>
        <w:pStyle w:val="14"/>
        <w:spacing w:line="306" w:lineRule="exact"/>
        <w:ind w:firstLine="440"/>
        <w:jc w:val="both"/>
        <w:rPr>
          <w:color w:val="auto"/>
        </w:rPr>
      </w:pPr>
      <w:bookmarkStart w:id="470" w:name="bookmark822"/>
      <w:r>
        <w:rPr>
          <w:color w:val="auto"/>
        </w:rPr>
        <w:t>四</w:t>
      </w:r>
      <w:bookmarkEnd w:id="470"/>
      <w:r>
        <w:rPr>
          <w:color w:val="auto"/>
        </w:rPr>
        <w:t>、在校期间，如有应缴款项而未缴清的，离校时必需全部交清，如拒不交款或以任何理由拖延者，不予办理离校手续。</w:t>
      </w:r>
    </w:p>
    <w:p>
      <w:pPr>
        <w:pStyle w:val="14"/>
        <w:spacing w:line="306" w:lineRule="exact"/>
        <w:ind w:firstLine="440"/>
        <w:jc w:val="both"/>
        <w:rPr>
          <w:color w:val="auto"/>
        </w:rPr>
      </w:pPr>
      <w:bookmarkStart w:id="471" w:name="bookmark823"/>
      <w:r>
        <w:rPr>
          <w:color w:val="auto"/>
        </w:rPr>
        <w:t>五</w:t>
      </w:r>
      <w:bookmarkEnd w:id="471"/>
      <w:r>
        <w:rPr>
          <w:color w:val="auto"/>
        </w:rPr>
        <w:t>、家具及物品验收合格者，由管理人员在离校通知书上盖章后，方可发给学生报到证或毕业证等。本规定由学生工作处、财务处、</w:t>
      </w:r>
      <w:r>
        <w:rPr>
          <w:rFonts w:hint="eastAsia"/>
          <w:color w:val="auto"/>
          <w:lang w:eastAsia="zh-CN"/>
        </w:rPr>
        <w:t>后勤保卫处</w:t>
      </w:r>
      <w:r>
        <w:rPr>
          <w:color w:val="auto"/>
        </w:rPr>
        <w:t>负责解释。</w:t>
      </w:r>
    </w:p>
    <w:p>
      <w:pPr>
        <w:rPr>
          <w:rFonts w:ascii="宋体" w:hAnsi="宋体"/>
          <w:color w:val="auto"/>
          <w:sz w:val="18"/>
          <w:lang w:val="zh-TW" w:eastAsia="zh-TW" w:bidi="zh-TW"/>
        </w:rPr>
      </w:pPr>
      <w:r>
        <w:rPr>
          <w:color w:val="auto"/>
          <w:lang w:eastAsia="zh-CN"/>
        </w:rPr>
        <w:br w:type="page"/>
      </w:r>
    </w:p>
    <w:p>
      <w:pPr>
        <w:pStyle w:val="12"/>
        <w:keepNext/>
        <w:keepLines/>
        <w:spacing w:before="0" w:after="360" w:line="598" w:lineRule="exact"/>
        <w:rPr>
          <w:color w:val="auto"/>
          <w:highlight w:val="none"/>
        </w:rPr>
      </w:pPr>
      <w:bookmarkStart w:id="472" w:name="bookmark825"/>
      <w:bookmarkStart w:id="473" w:name="bookmark824"/>
      <w:bookmarkStart w:id="474" w:name="bookmark826"/>
      <w:r>
        <w:rPr>
          <w:color w:val="auto"/>
          <w:highlight w:val="none"/>
        </w:rPr>
        <w:t>南京航空航天大学金城学院</w:t>
      </w:r>
      <w:r>
        <w:rPr>
          <w:color w:val="auto"/>
          <w:highlight w:val="none"/>
        </w:rPr>
        <w:br w:type="textWrapping"/>
      </w:r>
      <w:r>
        <w:rPr>
          <w:color w:val="auto"/>
          <w:highlight w:val="none"/>
        </w:rPr>
        <w:t>优良学风标兵宿舍、文明宿舍、</w:t>
      </w:r>
      <w:r>
        <w:rPr>
          <w:color w:val="auto"/>
          <w:highlight w:val="none"/>
        </w:rPr>
        <w:br w:type="textWrapping"/>
      </w:r>
      <w:r>
        <w:rPr>
          <w:color w:val="auto"/>
          <w:highlight w:val="none"/>
        </w:rPr>
        <w:t>优秀宿舍长评选办法</w:t>
      </w:r>
      <w:bookmarkEnd w:id="472"/>
      <w:bookmarkEnd w:id="473"/>
      <w:bookmarkEnd w:id="474"/>
    </w:p>
    <w:p>
      <w:pPr>
        <w:pStyle w:val="14"/>
        <w:spacing w:after="240" w:line="302" w:lineRule="exact"/>
        <w:ind w:firstLine="420"/>
        <w:jc w:val="both"/>
        <w:rPr>
          <w:color w:val="auto"/>
        </w:rPr>
      </w:pPr>
      <w:r>
        <w:rPr>
          <w:color w:val="auto"/>
        </w:rPr>
        <w:t>为进一步加强学生宿舍管理，鼓励先进，树立榜样，促进我校宿舍文明建设，把我校宿舍精神文明建设、学风建设推向一个新的水平，全校开展申报和创建</w:t>
      </w:r>
      <w:r>
        <w:rPr>
          <w:color w:val="auto"/>
          <w:lang w:val="zh-CN" w:eastAsia="zh-CN" w:bidi="zh-CN"/>
        </w:rPr>
        <w:t>“文明</w:t>
      </w:r>
      <w:r>
        <w:rPr>
          <w:color w:val="auto"/>
        </w:rPr>
        <w:t>宿舍”、“优良学风标兵宿舍”活动，并将对全校宿舍文明建设的各项工作中涌现出来的优秀集体和个人进行表彰。</w:t>
      </w:r>
    </w:p>
    <w:p>
      <w:pPr>
        <w:pStyle w:val="22"/>
        <w:spacing w:after="180"/>
        <w:ind w:firstLine="420"/>
        <w:jc w:val="both"/>
        <w:rPr>
          <w:b/>
          <w:bCs/>
          <w:color w:val="auto"/>
        </w:rPr>
      </w:pPr>
      <w:bookmarkStart w:id="475" w:name="bookmark827"/>
      <w:r>
        <w:rPr>
          <w:b/>
          <w:bCs/>
          <w:color w:val="auto"/>
        </w:rPr>
        <w:t>一</w:t>
      </w:r>
      <w:bookmarkEnd w:id="475"/>
      <w:r>
        <w:rPr>
          <w:b/>
          <w:bCs/>
          <w:color w:val="auto"/>
        </w:rPr>
        <w:t>、评选奖项</w:t>
      </w:r>
    </w:p>
    <w:p>
      <w:pPr>
        <w:pStyle w:val="14"/>
        <w:tabs>
          <w:tab w:val="left" w:pos="745"/>
        </w:tabs>
        <w:spacing w:line="317" w:lineRule="auto"/>
        <w:ind w:left="420" w:firstLine="0"/>
        <w:jc w:val="both"/>
        <w:rPr>
          <w:color w:val="auto"/>
        </w:rPr>
      </w:pPr>
      <w:bookmarkStart w:id="476" w:name="bookmark828"/>
      <w:bookmarkEnd w:id="476"/>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文明宿舍</w:t>
      </w:r>
      <w:r>
        <w:rPr>
          <w:rFonts w:hint="eastAsia"/>
          <w:color w:val="auto"/>
          <w:szCs w:val="20"/>
        </w:rPr>
        <w:t>（</w:t>
      </w:r>
      <w:r>
        <w:rPr>
          <w:color w:val="auto"/>
        </w:rPr>
        <w:t>全校评选</w:t>
      </w:r>
      <w:r>
        <w:rPr>
          <w:rFonts w:ascii="Times New Roman" w:hAnsi="Times New Roman" w:eastAsia="Times New Roman" w:cs="Times New Roman"/>
          <w:color w:val="auto"/>
          <w:sz w:val="20"/>
          <w:szCs w:val="20"/>
        </w:rPr>
        <w:t>150</w:t>
      </w:r>
      <w:r>
        <w:rPr>
          <w:color w:val="auto"/>
        </w:rPr>
        <w:t>个）</w:t>
      </w:r>
    </w:p>
    <w:p>
      <w:pPr>
        <w:pStyle w:val="14"/>
        <w:tabs>
          <w:tab w:val="left" w:pos="764"/>
        </w:tabs>
        <w:spacing w:line="317" w:lineRule="auto"/>
        <w:ind w:left="420" w:firstLine="0"/>
        <w:jc w:val="both"/>
        <w:rPr>
          <w:color w:val="auto"/>
        </w:rPr>
      </w:pPr>
      <w:bookmarkStart w:id="477" w:name="bookmark829"/>
      <w:bookmarkEnd w:id="477"/>
      <w:r>
        <w:rPr>
          <w:rFonts w:hint="eastAsia" w:ascii="Times New Roman" w:hAnsi="Times New Roman" w:eastAsiaTheme="minorEastAsia"/>
          <w:color w:val="auto"/>
          <w:sz w:val="20"/>
          <w:lang w:eastAsia="zh-CN"/>
        </w:rPr>
        <w:t>2</w:t>
      </w:r>
      <w:r>
        <w:rPr>
          <w:rFonts w:ascii="Times New Roman" w:hAnsi="Times New Roman" w:eastAsia="PMingLiU"/>
          <w:color w:val="auto"/>
          <w:sz w:val="20"/>
        </w:rPr>
        <w:t>.</w:t>
      </w:r>
      <w:r>
        <w:rPr>
          <w:color w:val="auto"/>
        </w:rPr>
        <w:t>优良学风标兵宿舍（全校评选</w:t>
      </w:r>
      <w:r>
        <w:rPr>
          <w:rFonts w:ascii="Times New Roman" w:hAnsi="Times New Roman" w:eastAsia="Times New Roman" w:cs="Times New Roman"/>
          <w:color w:val="auto"/>
          <w:sz w:val="20"/>
          <w:szCs w:val="20"/>
        </w:rPr>
        <w:t>30</w:t>
      </w:r>
      <w:r>
        <w:rPr>
          <w:color w:val="auto"/>
        </w:rPr>
        <w:t>个</w:t>
      </w:r>
      <w:r>
        <w:rPr>
          <w:i/>
          <w:iCs/>
          <w:color w:val="auto"/>
        </w:rPr>
        <w:t>）</w:t>
      </w:r>
    </w:p>
    <w:p>
      <w:pPr>
        <w:pStyle w:val="14"/>
        <w:tabs>
          <w:tab w:val="left" w:pos="764"/>
        </w:tabs>
        <w:spacing w:after="180" w:line="317" w:lineRule="auto"/>
        <w:ind w:left="420" w:firstLine="0"/>
        <w:jc w:val="both"/>
        <w:rPr>
          <w:color w:val="auto"/>
        </w:rPr>
      </w:pPr>
      <w:bookmarkStart w:id="478" w:name="bookmark830"/>
      <w:bookmarkEnd w:id="478"/>
      <w:r>
        <w:rPr>
          <w:rFonts w:hint="eastAsia" w:ascii="Times New Roman" w:hAnsi="Times New Roman" w:eastAsiaTheme="minorEastAsia"/>
          <w:color w:val="auto"/>
          <w:sz w:val="20"/>
          <w:lang w:eastAsia="zh-CN"/>
        </w:rPr>
        <w:t>3</w:t>
      </w:r>
      <w:r>
        <w:rPr>
          <w:rFonts w:ascii="Times New Roman" w:hAnsi="Times New Roman" w:eastAsia="PMingLiU"/>
          <w:color w:val="auto"/>
          <w:sz w:val="20"/>
        </w:rPr>
        <w:t>.</w:t>
      </w:r>
      <w:r>
        <w:rPr>
          <w:color w:val="auto"/>
        </w:rPr>
        <w:t>优秀宿舍长（全校评选</w:t>
      </w:r>
      <w:r>
        <w:rPr>
          <w:rFonts w:ascii="Times New Roman" w:hAnsi="Times New Roman" w:eastAsia="Times New Roman" w:cs="Times New Roman"/>
          <w:color w:val="auto"/>
          <w:sz w:val="20"/>
          <w:szCs w:val="20"/>
        </w:rPr>
        <w:t>80</w:t>
      </w:r>
      <w:r>
        <w:rPr>
          <w:color w:val="auto"/>
        </w:rPr>
        <w:t>个）</w:t>
      </w:r>
    </w:p>
    <w:p>
      <w:pPr>
        <w:pStyle w:val="22"/>
        <w:spacing w:after="120"/>
        <w:ind w:firstLine="420"/>
        <w:jc w:val="both"/>
        <w:rPr>
          <w:b/>
          <w:bCs/>
          <w:color w:val="auto"/>
        </w:rPr>
      </w:pPr>
      <w:bookmarkStart w:id="479" w:name="bookmark831"/>
      <w:r>
        <w:rPr>
          <w:b/>
          <w:bCs/>
          <w:color w:val="auto"/>
        </w:rPr>
        <w:t>二</w:t>
      </w:r>
      <w:bookmarkEnd w:id="479"/>
      <w:r>
        <w:rPr>
          <w:b/>
          <w:bCs/>
          <w:color w:val="auto"/>
        </w:rPr>
        <w:t>、评选条件</w:t>
      </w:r>
    </w:p>
    <w:p>
      <w:pPr>
        <w:pStyle w:val="14"/>
        <w:spacing w:after="240" w:line="304" w:lineRule="exact"/>
        <w:ind w:firstLine="420"/>
        <w:rPr>
          <w:color w:val="auto"/>
        </w:rPr>
      </w:pPr>
      <w:r>
        <w:rPr>
          <w:color w:val="auto"/>
        </w:rPr>
        <w:t>各宿舍积极申报、创建</w:t>
      </w:r>
      <w:r>
        <w:rPr>
          <w:color w:val="auto"/>
          <w:lang w:val="zh-CN" w:eastAsia="zh-CN" w:bidi="zh-CN"/>
        </w:rPr>
        <w:t>“文明</w:t>
      </w:r>
      <w:r>
        <w:rPr>
          <w:color w:val="auto"/>
        </w:rPr>
        <w:t>宿舍”、“优良学风标兵宿舍”，并在各方面表现优秀。</w:t>
      </w:r>
    </w:p>
    <w:p>
      <w:pPr>
        <w:pStyle w:val="22"/>
        <w:spacing w:after="120"/>
        <w:ind w:firstLine="420"/>
        <w:jc w:val="both"/>
        <w:rPr>
          <w:b/>
          <w:bCs/>
          <w:color w:val="auto"/>
        </w:rPr>
      </w:pPr>
      <w:bookmarkStart w:id="480" w:name="bookmark832"/>
      <w:r>
        <w:rPr>
          <w:b/>
          <w:bCs/>
          <w:color w:val="auto"/>
        </w:rPr>
        <w:t>三</w:t>
      </w:r>
      <w:bookmarkEnd w:id="480"/>
      <w:r>
        <w:rPr>
          <w:b/>
          <w:bCs/>
          <w:color w:val="auto"/>
        </w:rPr>
        <w:t>、评选办法</w:t>
      </w:r>
    </w:p>
    <w:p>
      <w:pPr>
        <w:pStyle w:val="14"/>
        <w:spacing w:line="304" w:lineRule="exact"/>
        <w:ind w:firstLine="420"/>
        <w:jc w:val="both"/>
        <w:rPr>
          <w:color w:val="auto"/>
        </w:rPr>
      </w:pPr>
      <w:r>
        <w:rPr>
          <w:color w:val="auto"/>
        </w:rPr>
        <w:t>各奖项由宿舍及个人申报，辅导员推荐，学院评审，学校及公寓管理办公室审核，经公示等环节确定表彰名单。学校将对</w:t>
      </w:r>
      <w:r>
        <w:rPr>
          <w:color w:val="auto"/>
          <w:lang w:val="zh-CN" w:eastAsia="zh-CN" w:bidi="zh-CN"/>
        </w:rPr>
        <w:t>“文明</w:t>
      </w:r>
      <w:r>
        <w:rPr>
          <w:color w:val="auto"/>
        </w:rPr>
        <w:t>宿舍”及</w:t>
      </w:r>
      <w:r>
        <w:rPr>
          <w:color w:val="auto"/>
          <w:lang w:val="zh-CN" w:eastAsia="zh-CN" w:bidi="zh-CN"/>
        </w:rPr>
        <w:t>“优</w:t>
      </w:r>
      <w:r>
        <w:rPr>
          <w:color w:val="auto"/>
        </w:rPr>
        <w:t>良学风标兵宿舍”发锦旗，并给予物质奖励，给</w:t>
      </w:r>
      <w:r>
        <w:rPr>
          <w:color w:val="auto"/>
          <w:lang w:val="zh-CN" w:eastAsia="zh-CN" w:bidi="zh-CN"/>
        </w:rPr>
        <w:t>“优秀</w:t>
      </w:r>
      <w:r>
        <w:rPr>
          <w:color w:val="auto"/>
        </w:rPr>
        <w:t>宿舍长</w:t>
      </w:r>
      <w:r>
        <w:rPr>
          <w:rFonts w:hint="eastAsia"/>
          <w:color w:val="auto"/>
        </w:rPr>
        <w:t>”</w:t>
      </w:r>
      <w:r>
        <w:rPr>
          <w:color w:val="auto"/>
        </w:rPr>
        <w:t>颁发荣誉证书，并给予物质奖励及年度综合素质测评中相关个人可以得到相应加分。</w:t>
      </w:r>
    </w:p>
    <w:p>
      <w:pPr>
        <w:pStyle w:val="14"/>
        <w:spacing w:after="60" w:line="304" w:lineRule="exact"/>
        <w:ind w:firstLine="420"/>
        <w:jc w:val="both"/>
        <w:rPr>
          <w:color w:val="auto"/>
        </w:rPr>
      </w:pPr>
      <w:r>
        <w:rPr>
          <w:color w:val="auto"/>
        </w:rPr>
        <w:t>（一）文明宿舍评选办法（百分制）</w:t>
      </w:r>
    </w:p>
    <w:p>
      <w:pPr>
        <w:pStyle w:val="28"/>
        <w:spacing w:after="0"/>
        <w:ind w:firstLine="420"/>
        <w:jc w:val="both"/>
        <w:rPr>
          <w:color w:val="auto"/>
        </w:rPr>
      </w:pPr>
      <w:r>
        <w:rPr>
          <w:color w:val="auto"/>
        </w:rPr>
        <w:t>1</w:t>
      </w:r>
      <w:r>
        <w:rPr>
          <w:color w:val="auto"/>
          <w:szCs w:val="18"/>
        </w:rPr>
        <w:t>.</w:t>
      </w:r>
      <w:r>
        <w:rPr>
          <w:rFonts w:ascii="宋体" w:hAnsi="宋体"/>
          <w:color w:val="auto"/>
          <w:sz w:val="18"/>
          <w:szCs w:val="18"/>
        </w:rPr>
        <w:t>卫生状况</w:t>
      </w:r>
      <w:r>
        <w:rPr>
          <w:rFonts w:ascii="宋体" w:hAnsi="宋体"/>
          <w:color w:val="auto"/>
          <w:sz w:val="18"/>
        </w:rPr>
        <w:t>（</w:t>
      </w:r>
      <w:r>
        <w:rPr>
          <w:color w:val="auto"/>
        </w:rPr>
        <w:t>60</w:t>
      </w:r>
      <w:r>
        <w:rPr>
          <w:rFonts w:hint="eastAsia" w:ascii="宋体" w:hAnsi="宋体"/>
          <w:color w:val="auto"/>
        </w:rPr>
        <w:t>’</w:t>
      </w:r>
      <w:r>
        <w:rPr>
          <w:color w:val="auto"/>
          <w:sz w:val="18"/>
        </w:rPr>
        <w:t>）</w:t>
      </w:r>
    </w:p>
    <w:p>
      <w:pPr>
        <w:pStyle w:val="14"/>
        <w:spacing w:line="317" w:lineRule="auto"/>
        <w:ind w:firstLine="420"/>
        <w:rPr>
          <w:color w:val="auto"/>
          <w:sz w:val="20"/>
          <w:szCs w:val="20"/>
        </w:rPr>
      </w:pPr>
      <w:r>
        <w:rPr>
          <w:rFonts w:hint="eastAsia"/>
          <w:color w:val="auto"/>
          <w:szCs w:val="20"/>
        </w:rPr>
        <w:t>（</w:t>
      </w:r>
      <w:r>
        <w:rPr>
          <w:rFonts w:ascii="Times New Roman" w:hAnsi="Times New Roman" w:eastAsia="Times New Roman" w:cs="Times New Roman"/>
          <w:color w:val="auto"/>
          <w:sz w:val="20"/>
          <w:szCs w:val="20"/>
        </w:rPr>
        <w:t>1</w:t>
      </w:r>
      <w:r>
        <w:rPr>
          <w:rFonts w:hint="eastAsia"/>
          <w:color w:val="auto"/>
          <w:szCs w:val="20"/>
        </w:rPr>
        <w:t>）</w:t>
      </w:r>
      <w:r>
        <w:rPr>
          <w:color w:val="auto"/>
        </w:rPr>
        <w:t>平时成绩：根据宿舍楼值班室平时登记成绩按比例打分。</w:t>
      </w:r>
      <w:r>
        <w:rPr>
          <w:color w:val="auto"/>
          <w:szCs w:val="20"/>
        </w:rPr>
        <w:t>（</w:t>
      </w:r>
      <w:r>
        <w:rPr>
          <w:rFonts w:ascii="Times New Roman" w:hAnsi="Times New Roman" w:eastAsia="Times New Roman" w:cs="Times New Roman"/>
          <w:color w:val="auto"/>
          <w:sz w:val="20"/>
          <w:szCs w:val="20"/>
        </w:rPr>
        <w:t>30</w:t>
      </w:r>
      <w:r>
        <w:rPr>
          <w:rFonts w:hint="eastAsia"/>
          <w:color w:val="auto"/>
          <w:sz w:val="20"/>
          <w:szCs w:val="20"/>
        </w:rPr>
        <w:t>’</w:t>
      </w:r>
      <w:r>
        <w:rPr>
          <w:rFonts w:hint="eastAsia"/>
          <w:color w:val="auto"/>
          <w:szCs w:val="20"/>
        </w:rPr>
        <w:t>）</w:t>
      </w:r>
    </w:p>
    <w:p>
      <w:pPr>
        <w:pStyle w:val="14"/>
        <w:spacing w:line="304" w:lineRule="exact"/>
        <w:ind w:firstLine="420"/>
        <w:rPr>
          <w:color w:val="auto"/>
        </w:rPr>
      </w:pPr>
      <w:r>
        <w:rPr>
          <w:color w:val="auto"/>
          <w:szCs w:val="20"/>
        </w:rPr>
        <w:t>（</w:t>
      </w:r>
      <w:r>
        <w:rPr>
          <w:rFonts w:ascii="Times New Roman" w:hAnsi="Times New Roman" w:eastAsia="Times New Roman" w:cs="Times New Roman"/>
          <w:color w:val="auto"/>
          <w:sz w:val="20"/>
          <w:szCs w:val="20"/>
        </w:rPr>
        <w:t>2</w:t>
      </w:r>
      <w:r>
        <w:rPr>
          <w:color w:val="auto"/>
          <w:szCs w:val="20"/>
        </w:rPr>
        <w:t>）</w:t>
      </w:r>
      <w:r>
        <w:rPr>
          <w:color w:val="auto"/>
        </w:rPr>
        <w:t>检査成绩：由安全卫生检査抽査评定。内容如下</w:t>
      </w:r>
      <w:r>
        <w:rPr>
          <w:color w:val="auto"/>
          <w:szCs w:val="20"/>
        </w:rPr>
        <w:t>（</w:t>
      </w:r>
      <w:r>
        <w:rPr>
          <w:rFonts w:ascii="Times New Roman" w:hAnsi="Times New Roman" w:eastAsia="Times New Roman" w:cs="Times New Roman"/>
          <w:color w:val="auto"/>
          <w:sz w:val="20"/>
          <w:szCs w:val="20"/>
        </w:rPr>
        <w:t>30</w:t>
      </w:r>
      <w:r>
        <w:rPr>
          <w:rFonts w:hint="eastAsia"/>
          <w:color w:val="auto"/>
          <w:sz w:val="20"/>
          <w:szCs w:val="20"/>
        </w:rPr>
        <w:t>’</w:t>
      </w:r>
      <w:r>
        <w:rPr>
          <w:color w:val="auto"/>
        </w:rPr>
        <w:t>）</w:t>
      </w:r>
    </w:p>
    <w:p>
      <w:pPr>
        <w:pStyle w:val="14"/>
        <w:spacing w:line="304" w:lineRule="exact"/>
        <w:ind w:firstLine="360" w:firstLineChars="200"/>
        <w:jc w:val="both"/>
        <w:rPr>
          <w:color w:val="auto"/>
        </w:rPr>
      </w:pPr>
      <w:bookmarkStart w:id="481" w:name="bookmark836"/>
      <w:bookmarkEnd w:id="481"/>
      <w:r>
        <w:rPr>
          <w:rFonts w:hint="eastAsia" w:asciiTheme="minorEastAsia" w:hAnsiTheme="minorEastAsia" w:eastAsiaTheme="minorEastAsia"/>
          <w:color w:val="auto"/>
        </w:rPr>
        <w:t>ａ</w:t>
      </w:r>
      <w:r>
        <w:rPr>
          <w:rFonts w:hint="eastAsia" w:asciiTheme="minorEastAsia" w:hAnsiTheme="minorEastAsia" w:eastAsiaTheme="minorEastAsia"/>
          <w:color w:val="auto"/>
          <w:lang w:eastAsia="zh-CN"/>
        </w:rPr>
        <w:t>.</w:t>
      </w:r>
      <w:r>
        <w:rPr>
          <w:color w:val="auto"/>
        </w:rPr>
        <w:t>地面：室内地面无垃圾、痰迹、积水，鞋子摆放整齐</w:t>
      </w:r>
      <w:r>
        <w:rPr>
          <w:rFonts w:hint="eastAsia"/>
          <w:color w:val="auto"/>
        </w:rPr>
        <w:t>；</w:t>
      </w:r>
      <w:r>
        <w:rPr>
          <w:color w:val="auto"/>
        </w:rPr>
        <w:t>纸篓倾倒及时。人离开后凳子一律放在桌下且摆放整齐。</w:t>
      </w:r>
    </w:p>
    <w:p>
      <w:pPr>
        <w:pStyle w:val="14"/>
        <w:spacing w:line="304" w:lineRule="exact"/>
        <w:ind w:left="420" w:firstLine="0"/>
        <w:jc w:val="both"/>
        <w:rPr>
          <w:color w:val="auto"/>
        </w:rPr>
      </w:pPr>
      <w:bookmarkStart w:id="482" w:name="bookmark837"/>
      <w:bookmarkEnd w:id="482"/>
      <w:r>
        <w:rPr>
          <w:rFonts w:hint="eastAsia" w:asciiTheme="minorEastAsia" w:hAnsiTheme="minorEastAsia" w:eastAsiaTheme="minorEastAsia"/>
          <w:color w:val="auto"/>
        </w:rPr>
        <w:t>ｂ</w:t>
      </w:r>
      <w:r>
        <w:rPr>
          <w:rFonts w:hint="eastAsia" w:asciiTheme="minorEastAsia" w:hAnsiTheme="minorEastAsia" w:eastAsiaTheme="minorEastAsia"/>
          <w:color w:val="auto"/>
          <w:lang w:eastAsia="zh-CN"/>
        </w:rPr>
        <w:t>.</w:t>
      </w:r>
      <w:r>
        <w:rPr>
          <w:color w:val="auto"/>
        </w:rPr>
        <w:t>墙面：墙面清洁，无张贴物，不钉钉子无挂钩，室内不准拉绳子、铁丝墙面墙角无蜘蛛网。</w:t>
      </w:r>
    </w:p>
    <w:p>
      <w:pPr>
        <w:pStyle w:val="14"/>
        <w:spacing w:line="304" w:lineRule="exact"/>
        <w:jc w:val="both"/>
        <w:rPr>
          <w:color w:val="auto"/>
        </w:rPr>
      </w:pPr>
      <w:bookmarkStart w:id="483" w:name="bookmark838"/>
      <w:bookmarkEnd w:id="483"/>
      <w:r>
        <w:rPr>
          <w:rFonts w:hint="eastAsia" w:asciiTheme="minorEastAsia" w:hAnsiTheme="minorEastAsia" w:eastAsiaTheme="minorEastAsia"/>
          <w:color w:val="auto"/>
        </w:rPr>
        <w:t>ｃ</w:t>
      </w:r>
      <w:r>
        <w:rPr>
          <w:rFonts w:hint="eastAsia" w:asciiTheme="minorEastAsia" w:hAnsiTheme="minorEastAsia" w:eastAsiaTheme="minorEastAsia"/>
          <w:color w:val="auto"/>
          <w:lang w:eastAsia="zh-CN"/>
        </w:rPr>
        <w:t>.</w:t>
      </w:r>
      <w:r>
        <w:rPr>
          <w:color w:val="auto"/>
        </w:rPr>
        <w:t>铺面：被子统一叠放在床头一侧，枕头放在另一侧，叠放整齐，床单平整；床上不允许放书本和衣物；西装、皮衣可以挂在床内侧。</w:t>
      </w:r>
    </w:p>
    <w:p>
      <w:pPr>
        <w:pStyle w:val="14"/>
        <w:spacing w:line="304" w:lineRule="exact"/>
        <w:ind w:left="420" w:firstLine="0"/>
        <w:jc w:val="both"/>
        <w:rPr>
          <w:color w:val="auto"/>
        </w:rPr>
      </w:pPr>
      <w:bookmarkStart w:id="484" w:name="bookmark839"/>
      <w:bookmarkEnd w:id="484"/>
      <w:r>
        <w:rPr>
          <w:rFonts w:hint="eastAsia" w:asciiTheme="minorEastAsia" w:hAnsiTheme="minorEastAsia" w:eastAsiaTheme="minorEastAsia"/>
          <w:color w:val="auto"/>
        </w:rPr>
        <w:t>ｄ</w:t>
      </w:r>
      <w:r>
        <w:rPr>
          <w:rFonts w:hint="eastAsia" w:asciiTheme="minorEastAsia" w:hAnsiTheme="minorEastAsia" w:eastAsiaTheme="minorEastAsia"/>
          <w:color w:val="auto"/>
          <w:lang w:eastAsia="zh-CN"/>
        </w:rPr>
        <w:t>.</w:t>
      </w:r>
      <w:r>
        <w:rPr>
          <w:color w:val="auto"/>
        </w:rPr>
        <w:t>书橱：从上向下常用物品摆放整齐；桌面清洁、无杂物，物品分类放整齐；箱包不允许摆放在橱档内。</w:t>
      </w:r>
    </w:p>
    <w:p>
      <w:pPr>
        <w:pStyle w:val="14"/>
        <w:spacing w:line="304" w:lineRule="exact"/>
        <w:ind w:left="420" w:firstLine="0"/>
        <w:jc w:val="both"/>
        <w:rPr>
          <w:color w:val="auto"/>
        </w:rPr>
      </w:pPr>
      <w:bookmarkStart w:id="485" w:name="bookmark840"/>
      <w:bookmarkEnd w:id="485"/>
      <w:r>
        <w:rPr>
          <w:rFonts w:hint="eastAsia" w:asciiTheme="minorEastAsia" w:hAnsiTheme="minorEastAsia" w:eastAsiaTheme="minorEastAsia"/>
          <w:color w:val="auto"/>
        </w:rPr>
        <w:t>ｅ</w:t>
      </w:r>
      <w:r>
        <w:rPr>
          <w:rFonts w:hint="eastAsia" w:asciiTheme="minorEastAsia" w:hAnsiTheme="minorEastAsia" w:eastAsiaTheme="minorEastAsia"/>
          <w:color w:val="auto"/>
          <w:lang w:eastAsia="zh-CN"/>
        </w:rPr>
        <w:t>.</w:t>
      </w:r>
      <w:r>
        <w:rPr>
          <w:color w:val="auto"/>
        </w:rPr>
        <w:t>卫生间：脸盆放在脸盆架内；毛巾挂放整齐；水池、地面清洁无积水；卫生间无异味。</w:t>
      </w:r>
    </w:p>
    <w:p>
      <w:pPr>
        <w:pStyle w:val="14"/>
        <w:spacing w:after="100" w:line="304" w:lineRule="exact"/>
        <w:jc w:val="both"/>
        <w:rPr>
          <w:color w:val="auto"/>
        </w:rPr>
      </w:pPr>
      <w:bookmarkStart w:id="486" w:name="bookmark841"/>
      <w:bookmarkEnd w:id="486"/>
      <w:r>
        <w:rPr>
          <w:rFonts w:hint="eastAsia" w:asciiTheme="minorEastAsia" w:hAnsiTheme="minorEastAsia" w:eastAsiaTheme="minorEastAsia"/>
          <w:color w:val="auto"/>
        </w:rPr>
        <w:t>ｆ</w:t>
      </w:r>
      <w:r>
        <w:rPr>
          <w:rFonts w:hint="eastAsia" w:asciiTheme="minorEastAsia" w:hAnsiTheme="minorEastAsia" w:eastAsiaTheme="minorEastAsia"/>
          <w:color w:val="auto"/>
          <w:lang w:eastAsia="zh-CN"/>
        </w:rPr>
        <w:t>.</w:t>
      </w:r>
      <w:r>
        <w:rPr>
          <w:color w:val="auto"/>
        </w:rPr>
        <w:t>其他：阳台保持清洁，无垃圾；室内保持空气新鲜、无异味；皮箱、棉胎等不常用衣物放在柜中；门窗玻璃清洁，不私接电线，不违章用电。</w:t>
      </w:r>
    </w:p>
    <w:p>
      <w:pPr>
        <w:pStyle w:val="14"/>
        <w:spacing w:line="293" w:lineRule="exact"/>
        <w:ind w:firstLine="420"/>
        <w:rPr>
          <w:color w:val="auto"/>
          <w:sz w:val="20"/>
          <w:szCs w:val="20"/>
        </w:rPr>
      </w:pPr>
      <w:r>
        <w:rPr>
          <w:rFonts w:ascii="Times New Roman" w:hAnsi="Times New Roman" w:eastAsia="Times New Roman" w:cs="Times New Roman"/>
          <w:color w:val="auto"/>
          <w:sz w:val="20"/>
          <w:szCs w:val="20"/>
          <w:lang w:val="zh-CN" w:eastAsia="zh-CN" w:bidi="zh-CN"/>
        </w:rPr>
        <w:t>2</w:t>
      </w:r>
      <w:r>
        <w:rPr>
          <w:rFonts w:ascii="Times New Roman" w:hAnsi="Times New Roman"/>
          <w:color w:val="auto"/>
          <w:sz w:val="20"/>
        </w:rPr>
        <w:t>.</w:t>
      </w:r>
      <w:r>
        <w:rPr>
          <w:color w:val="auto"/>
        </w:rPr>
        <w:t>宿舍成员综合素质</w:t>
      </w:r>
      <w:r>
        <w:rPr>
          <w:color w:val="auto"/>
          <w:szCs w:val="20"/>
        </w:rPr>
        <w:t>（</w:t>
      </w:r>
      <w:r>
        <w:rPr>
          <w:rFonts w:ascii="Times New Roman" w:hAnsi="Times New Roman" w:eastAsia="Times New Roman" w:cs="Times New Roman"/>
          <w:color w:val="auto"/>
          <w:sz w:val="20"/>
          <w:szCs w:val="20"/>
        </w:rPr>
        <w:t>40</w:t>
      </w:r>
      <w:r>
        <w:rPr>
          <w:rFonts w:hint="eastAsia"/>
          <w:color w:val="auto"/>
          <w:sz w:val="20"/>
          <w:szCs w:val="20"/>
        </w:rPr>
        <w:t>’</w:t>
      </w:r>
      <w:r>
        <w:rPr>
          <w:rFonts w:hint="eastAsia"/>
          <w:color w:val="auto"/>
          <w:szCs w:val="20"/>
        </w:rPr>
        <w:t>）</w:t>
      </w:r>
    </w:p>
    <w:p>
      <w:pPr>
        <w:pStyle w:val="28"/>
        <w:spacing w:after="0" w:line="293" w:lineRule="exact"/>
        <w:ind w:firstLine="420"/>
        <w:jc w:val="left"/>
        <w:rPr>
          <w:color w:val="auto"/>
        </w:rPr>
      </w:pPr>
      <w:r>
        <w:rPr>
          <w:color w:val="auto"/>
          <w:sz w:val="18"/>
        </w:rPr>
        <w:t>（</w:t>
      </w:r>
      <w:r>
        <w:rPr>
          <w:color w:val="auto"/>
        </w:rPr>
        <w:t>1</w:t>
      </w:r>
      <w:r>
        <w:rPr>
          <w:color w:val="auto"/>
          <w:sz w:val="18"/>
        </w:rPr>
        <w:t>）</w:t>
      </w:r>
      <w:r>
        <w:rPr>
          <w:rFonts w:ascii="宋体" w:hAnsi="宋体"/>
          <w:color w:val="auto"/>
          <w:sz w:val="18"/>
          <w:szCs w:val="18"/>
        </w:rPr>
        <w:t>基本素质</w:t>
      </w:r>
      <w:r>
        <w:rPr>
          <w:rFonts w:ascii="宋体" w:hAnsi="宋体"/>
          <w:color w:val="auto"/>
          <w:sz w:val="18"/>
        </w:rPr>
        <w:t>（</w:t>
      </w:r>
      <w:r>
        <w:rPr>
          <w:color w:val="auto"/>
        </w:rPr>
        <w:t>25</w:t>
      </w:r>
      <w:r>
        <w:rPr>
          <w:rFonts w:hint="eastAsia"/>
          <w:color w:val="auto"/>
        </w:rPr>
        <w:t>’</w:t>
      </w:r>
      <w:r>
        <w:rPr>
          <w:color w:val="auto"/>
          <w:sz w:val="18"/>
        </w:rPr>
        <w:t>）</w:t>
      </w:r>
    </w:p>
    <w:p>
      <w:pPr>
        <w:pStyle w:val="14"/>
        <w:tabs>
          <w:tab w:val="left" w:pos="750"/>
        </w:tabs>
        <w:spacing w:line="293" w:lineRule="exact"/>
        <w:ind w:left="420" w:firstLine="0"/>
        <w:rPr>
          <w:color w:val="auto"/>
        </w:rPr>
      </w:pPr>
      <w:bookmarkStart w:id="487" w:name="bookmark843"/>
      <w:bookmarkEnd w:id="487"/>
      <w:r>
        <w:rPr>
          <w:rFonts w:hint="eastAsia" w:asciiTheme="minorEastAsia" w:hAnsiTheme="minorEastAsia" w:eastAsiaTheme="minorEastAsia"/>
          <w:color w:val="auto"/>
        </w:rPr>
        <w:t>ａ</w:t>
      </w:r>
      <w:r>
        <w:rPr>
          <w:rFonts w:hint="eastAsia" w:asciiTheme="minorEastAsia" w:hAnsiTheme="minorEastAsia" w:eastAsiaTheme="minorEastAsia"/>
          <w:color w:val="auto"/>
          <w:lang w:eastAsia="zh-CN"/>
        </w:rPr>
        <w:t>.</w:t>
      </w:r>
      <w:r>
        <w:rPr>
          <w:color w:val="auto"/>
        </w:rPr>
        <w:t>宿舍内学习气氛浓郁，成员互帮互助，团结一致。</w:t>
      </w:r>
    </w:p>
    <w:p>
      <w:pPr>
        <w:pStyle w:val="14"/>
        <w:tabs>
          <w:tab w:val="left" w:pos="764"/>
        </w:tabs>
        <w:spacing w:line="293" w:lineRule="exact"/>
        <w:ind w:left="420" w:firstLine="0"/>
        <w:rPr>
          <w:color w:val="auto"/>
        </w:rPr>
      </w:pPr>
      <w:bookmarkStart w:id="488" w:name="bookmark844"/>
      <w:bookmarkEnd w:id="488"/>
      <w:r>
        <w:rPr>
          <w:rFonts w:hint="eastAsia" w:asciiTheme="minorEastAsia" w:hAnsiTheme="minorEastAsia" w:eastAsiaTheme="minorEastAsia"/>
          <w:color w:val="auto"/>
        </w:rPr>
        <w:t>ｂ</w:t>
      </w:r>
      <w:r>
        <w:rPr>
          <w:rFonts w:hint="eastAsia" w:asciiTheme="minorEastAsia" w:hAnsiTheme="minorEastAsia" w:eastAsiaTheme="minorEastAsia"/>
          <w:color w:val="auto"/>
          <w:lang w:eastAsia="zh-CN"/>
        </w:rPr>
        <w:t>.</w:t>
      </w:r>
      <w:r>
        <w:rPr>
          <w:color w:val="auto"/>
        </w:rPr>
        <w:t>宿舍成员有一定的爱好与特长，积极参与各项文体活动。</w:t>
      </w:r>
    </w:p>
    <w:p>
      <w:pPr>
        <w:pStyle w:val="14"/>
        <w:tabs>
          <w:tab w:val="left" w:pos="764"/>
        </w:tabs>
        <w:spacing w:line="293" w:lineRule="exact"/>
        <w:ind w:left="420" w:firstLine="0"/>
        <w:rPr>
          <w:color w:val="auto"/>
        </w:rPr>
      </w:pPr>
      <w:bookmarkStart w:id="489" w:name="bookmark845"/>
      <w:bookmarkEnd w:id="489"/>
      <w:r>
        <w:rPr>
          <w:rFonts w:hint="eastAsia" w:asciiTheme="minorEastAsia" w:hAnsiTheme="minorEastAsia" w:eastAsiaTheme="minorEastAsia"/>
          <w:color w:val="auto"/>
        </w:rPr>
        <w:t>ｃ</w:t>
      </w:r>
      <w:r>
        <w:rPr>
          <w:rFonts w:hint="eastAsia" w:asciiTheme="minorEastAsia" w:hAnsiTheme="minorEastAsia" w:eastAsiaTheme="minorEastAsia"/>
          <w:color w:val="auto"/>
          <w:lang w:eastAsia="zh-CN"/>
        </w:rPr>
        <w:t>.</w:t>
      </w:r>
      <w:r>
        <w:rPr>
          <w:color w:val="auto"/>
        </w:rPr>
        <w:t>有健全的卫生值日制度，保持经常性的整齐清洁美观。</w:t>
      </w:r>
    </w:p>
    <w:p>
      <w:pPr>
        <w:pStyle w:val="14"/>
        <w:tabs>
          <w:tab w:val="left" w:pos="764"/>
        </w:tabs>
        <w:spacing w:line="293" w:lineRule="exact"/>
        <w:ind w:left="420" w:firstLine="0"/>
        <w:rPr>
          <w:color w:val="auto"/>
        </w:rPr>
      </w:pPr>
      <w:bookmarkStart w:id="490" w:name="bookmark846"/>
      <w:bookmarkEnd w:id="490"/>
      <w:r>
        <w:rPr>
          <w:rFonts w:hint="eastAsia" w:asciiTheme="minorEastAsia" w:hAnsiTheme="minorEastAsia" w:eastAsiaTheme="minorEastAsia"/>
          <w:color w:val="auto"/>
        </w:rPr>
        <w:t>ｄ</w:t>
      </w:r>
      <w:r>
        <w:rPr>
          <w:rFonts w:hint="eastAsia" w:asciiTheme="minorEastAsia" w:hAnsiTheme="minorEastAsia" w:eastAsiaTheme="minorEastAsia"/>
          <w:color w:val="auto"/>
          <w:lang w:eastAsia="zh-CN"/>
        </w:rPr>
        <w:t>.</w:t>
      </w:r>
      <w:r>
        <w:rPr>
          <w:color w:val="auto"/>
        </w:rPr>
        <w:t>自觉遵守学校的各项规章制度，按时作息，不影响别人的学习和休息。</w:t>
      </w:r>
    </w:p>
    <w:p>
      <w:pPr>
        <w:pStyle w:val="14"/>
        <w:tabs>
          <w:tab w:val="left" w:pos="764"/>
        </w:tabs>
        <w:spacing w:line="293" w:lineRule="exact"/>
        <w:ind w:left="420" w:firstLine="0"/>
        <w:rPr>
          <w:color w:val="auto"/>
        </w:rPr>
      </w:pPr>
      <w:bookmarkStart w:id="491" w:name="bookmark847"/>
      <w:bookmarkEnd w:id="491"/>
      <w:r>
        <w:rPr>
          <w:rFonts w:hint="eastAsia" w:asciiTheme="minorEastAsia" w:hAnsiTheme="minorEastAsia" w:eastAsiaTheme="minorEastAsia"/>
          <w:color w:val="auto"/>
        </w:rPr>
        <w:t>ｅ</w:t>
      </w:r>
      <w:r>
        <w:rPr>
          <w:rFonts w:hint="eastAsia" w:asciiTheme="minorEastAsia" w:hAnsiTheme="minorEastAsia" w:eastAsiaTheme="minorEastAsia"/>
          <w:color w:val="auto"/>
          <w:lang w:eastAsia="zh-CN"/>
        </w:rPr>
        <w:t>.</w:t>
      </w:r>
      <w:r>
        <w:rPr>
          <w:color w:val="auto"/>
        </w:rPr>
        <w:t>节约粮食，水电，不违章用电，没有损坏门窗、桌椅等现象发生。</w:t>
      </w:r>
    </w:p>
    <w:p>
      <w:pPr>
        <w:pStyle w:val="14"/>
        <w:tabs>
          <w:tab w:val="left" w:pos="766"/>
        </w:tabs>
        <w:spacing w:line="293" w:lineRule="exact"/>
        <w:rPr>
          <w:color w:val="auto"/>
        </w:rPr>
      </w:pPr>
      <w:bookmarkStart w:id="492" w:name="bookmark848"/>
      <w:bookmarkEnd w:id="492"/>
      <w:r>
        <w:rPr>
          <w:rFonts w:hint="eastAsia" w:asciiTheme="minorEastAsia" w:hAnsiTheme="minorEastAsia" w:eastAsiaTheme="minorEastAsia"/>
          <w:color w:val="auto"/>
        </w:rPr>
        <w:t>ｆ</w:t>
      </w:r>
      <w:r>
        <w:rPr>
          <w:rFonts w:hint="eastAsia" w:asciiTheme="minorEastAsia" w:hAnsiTheme="minorEastAsia" w:eastAsiaTheme="minorEastAsia"/>
          <w:color w:val="auto"/>
          <w:lang w:eastAsia="zh-CN"/>
        </w:rPr>
        <w:t>.</w:t>
      </w:r>
      <w:r>
        <w:rPr>
          <w:color w:val="auto"/>
        </w:rPr>
        <w:t>礼貌用语，举止文明，低级趣味的话不说，不赌博、不溺网，黄色低级书籍不看，不健康音乐不听。</w:t>
      </w:r>
    </w:p>
    <w:p>
      <w:pPr>
        <w:pStyle w:val="14"/>
        <w:spacing w:line="293" w:lineRule="exact"/>
        <w:ind w:firstLine="420"/>
        <w:rPr>
          <w:color w:val="auto"/>
        </w:rPr>
      </w:pPr>
      <w:r>
        <w:rPr>
          <w:color w:val="auto"/>
          <w:szCs w:val="20"/>
        </w:rPr>
        <w:t>（</w:t>
      </w:r>
      <w:r>
        <w:rPr>
          <w:rFonts w:ascii="Times New Roman" w:hAnsi="Times New Roman" w:eastAsia="Times New Roman" w:cs="Times New Roman"/>
          <w:color w:val="auto"/>
          <w:sz w:val="20"/>
          <w:szCs w:val="20"/>
        </w:rPr>
        <w:t>2</w:t>
      </w:r>
      <w:r>
        <w:rPr>
          <w:color w:val="auto"/>
          <w:szCs w:val="20"/>
        </w:rPr>
        <w:t>）</w:t>
      </w:r>
      <w:r>
        <w:rPr>
          <w:color w:val="auto"/>
        </w:rPr>
        <w:t>其它方面</w:t>
      </w:r>
      <w:r>
        <w:rPr>
          <w:color w:val="auto"/>
          <w:szCs w:val="20"/>
        </w:rPr>
        <w:t>（</w:t>
      </w:r>
      <w:r>
        <w:rPr>
          <w:rFonts w:ascii="Times New Roman" w:hAnsi="Times New Roman" w:eastAsia="Times New Roman" w:cs="Times New Roman"/>
          <w:color w:val="auto"/>
          <w:sz w:val="20"/>
          <w:szCs w:val="20"/>
        </w:rPr>
        <w:t>15</w:t>
      </w:r>
      <w:r>
        <w:rPr>
          <w:rFonts w:hint="eastAsia"/>
          <w:color w:val="auto"/>
          <w:sz w:val="20"/>
          <w:szCs w:val="20"/>
        </w:rPr>
        <w:t>’</w:t>
      </w:r>
      <w:r>
        <w:rPr>
          <w:color w:val="auto"/>
          <w:szCs w:val="20"/>
        </w:rPr>
        <w:t>）（</w:t>
      </w:r>
      <w:r>
        <w:rPr>
          <w:color w:val="auto"/>
        </w:rPr>
        <w:t>加分制）</w:t>
      </w:r>
    </w:p>
    <w:p>
      <w:pPr>
        <w:pStyle w:val="14"/>
        <w:tabs>
          <w:tab w:val="left" w:pos="750"/>
        </w:tabs>
        <w:spacing w:line="293" w:lineRule="exact"/>
        <w:ind w:left="420" w:firstLine="0"/>
        <w:rPr>
          <w:color w:val="auto"/>
        </w:rPr>
      </w:pPr>
      <w:bookmarkStart w:id="493" w:name="bookmark850"/>
      <w:bookmarkEnd w:id="493"/>
      <w:r>
        <w:rPr>
          <w:rFonts w:hint="eastAsia" w:asciiTheme="minorEastAsia" w:hAnsiTheme="minorEastAsia" w:eastAsiaTheme="minorEastAsia"/>
          <w:color w:val="auto"/>
        </w:rPr>
        <w:t>ａ</w:t>
      </w:r>
      <w:r>
        <w:rPr>
          <w:rFonts w:hint="eastAsia" w:asciiTheme="minorEastAsia" w:hAnsiTheme="minorEastAsia" w:eastAsiaTheme="minorEastAsia"/>
          <w:color w:val="auto"/>
          <w:lang w:eastAsia="zh-CN"/>
        </w:rPr>
        <w:t>.</w:t>
      </w:r>
      <w:r>
        <w:rPr>
          <w:color w:val="auto"/>
        </w:rPr>
        <w:t>三好学生、优秀干部、优秀团员（均为校级</w:t>
      </w:r>
      <w:r>
        <w:rPr>
          <w:color w:val="auto"/>
          <w:szCs w:val="20"/>
        </w:rPr>
        <w:t>）（</w:t>
      </w:r>
      <w:r>
        <w:rPr>
          <w:rFonts w:ascii="Times New Roman" w:hAnsi="Times New Roman" w:eastAsia="Times New Roman" w:cs="Times New Roman"/>
          <w:color w:val="auto"/>
          <w:sz w:val="20"/>
          <w:szCs w:val="20"/>
        </w:rPr>
        <w:t>5</w:t>
      </w:r>
      <w:r>
        <w:rPr>
          <w:rFonts w:hint="eastAsia"/>
          <w:color w:val="auto"/>
          <w:sz w:val="20"/>
          <w:szCs w:val="20"/>
        </w:rPr>
        <w:t>’</w:t>
      </w:r>
      <w:r>
        <w:rPr>
          <w:color w:val="auto"/>
        </w:rPr>
        <w:t>）</w:t>
      </w:r>
    </w:p>
    <w:p>
      <w:pPr>
        <w:pStyle w:val="14"/>
        <w:tabs>
          <w:tab w:val="left" w:pos="764"/>
        </w:tabs>
        <w:spacing w:line="293" w:lineRule="exact"/>
        <w:ind w:left="420" w:firstLine="0"/>
        <w:rPr>
          <w:color w:val="auto"/>
          <w:sz w:val="20"/>
          <w:szCs w:val="20"/>
        </w:rPr>
      </w:pPr>
      <w:bookmarkStart w:id="494" w:name="bookmark851"/>
      <w:bookmarkEnd w:id="494"/>
      <w:r>
        <w:rPr>
          <w:rFonts w:hint="eastAsia" w:asciiTheme="minorEastAsia" w:hAnsiTheme="minorEastAsia" w:eastAsiaTheme="minorEastAsia"/>
          <w:color w:val="auto"/>
        </w:rPr>
        <w:t>ｂ</w:t>
      </w:r>
      <w:r>
        <w:rPr>
          <w:rFonts w:hint="eastAsia" w:asciiTheme="minorEastAsia" w:hAnsiTheme="minorEastAsia" w:eastAsiaTheme="minorEastAsia"/>
          <w:color w:val="auto"/>
          <w:lang w:eastAsia="zh-CN"/>
        </w:rPr>
        <w:t>.</w:t>
      </w:r>
      <w:r>
        <w:rPr>
          <w:color w:val="auto"/>
        </w:rPr>
        <w:t>在校级及以上级别文艺、体育运动比赛中获得名次</w:t>
      </w:r>
      <w:r>
        <w:rPr>
          <w:color w:val="auto"/>
          <w:szCs w:val="20"/>
        </w:rPr>
        <w:t>（</w:t>
      </w:r>
      <w:r>
        <w:rPr>
          <w:rFonts w:ascii="Times New Roman" w:hAnsi="Times New Roman" w:eastAsia="Times New Roman" w:cs="Times New Roman"/>
          <w:color w:val="auto"/>
          <w:sz w:val="20"/>
          <w:szCs w:val="20"/>
        </w:rPr>
        <w:t>5</w:t>
      </w:r>
      <w:r>
        <w:rPr>
          <w:rFonts w:hint="eastAsia"/>
          <w:color w:val="auto"/>
          <w:sz w:val="20"/>
          <w:szCs w:val="20"/>
        </w:rPr>
        <w:t>’</w:t>
      </w:r>
      <w:r>
        <w:rPr>
          <w:color w:val="auto"/>
          <w:szCs w:val="20"/>
        </w:rPr>
        <w:t>）</w:t>
      </w:r>
    </w:p>
    <w:p>
      <w:pPr>
        <w:pStyle w:val="14"/>
        <w:tabs>
          <w:tab w:val="left" w:pos="764"/>
        </w:tabs>
        <w:spacing w:line="293" w:lineRule="exact"/>
        <w:ind w:left="420" w:firstLine="0"/>
        <w:rPr>
          <w:color w:val="auto"/>
          <w:sz w:val="20"/>
          <w:szCs w:val="20"/>
        </w:rPr>
      </w:pPr>
      <w:bookmarkStart w:id="495" w:name="bookmark852"/>
      <w:bookmarkEnd w:id="495"/>
      <w:r>
        <w:rPr>
          <w:rFonts w:hint="eastAsia" w:asciiTheme="minorEastAsia" w:hAnsiTheme="minorEastAsia" w:eastAsiaTheme="minorEastAsia"/>
          <w:color w:val="auto"/>
        </w:rPr>
        <w:t>ｃ</w:t>
      </w:r>
      <w:r>
        <w:rPr>
          <w:rFonts w:hint="eastAsia" w:asciiTheme="minorEastAsia" w:hAnsiTheme="minorEastAsia" w:eastAsiaTheme="minorEastAsia"/>
          <w:color w:val="auto"/>
          <w:lang w:eastAsia="zh-CN"/>
        </w:rPr>
        <w:t>.</w:t>
      </w:r>
      <w:r>
        <w:rPr>
          <w:color w:val="auto"/>
        </w:rPr>
        <w:t>获得奖学金或在各类学科竞赛中获奖</w:t>
      </w:r>
      <w:r>
        <w:rPr>
          <w:rFonts w:hint="eastAsia"/>
          <w:color w:val="auto"/>
          <w:szCs w:val="20"/>
        </w:rPr>
        <w:t>（</w:t>
      </w:r>
      <w:r>
        <w:rPr>
          <w:color w:val="auto"/>
        </w:rPr>
        <w:t>校级以上</w:t>
      </w:r>
      <w:r>
        <w:rPr>
          <w:color w:val="auto"/>
          <w:szCs w:val="20"/>
        </w:rPr>
        <w:t>）（</w:t>
      </w:r>
      <w:r>
        <w:rPr>
          <w:rFonts w:ascii="Times New Roman" w:hAnsi="Times New Roman" w:eastAsia="Times New Roman" w:cs="Times New Roman"/>
          <w:color w:val="auto"/>
          <w:sz w:val="20"/>
          <w:szCs w:val="20"/>
        </w:rPr>
        <w:t>5</w:t>
      </w:r>
      <w:r>
        <w:rPr>
          <w:rFonts w:hint="eastAsia"/>
          <w:color w:val="auto"/>
          <w:sz w:val="20"/>
          <w:szCs w:val="20"/>
        </w:rPr>
        <w:t>’</w:t>
      </w:r>
      <w:r>
        <w:rPr>
          <w:color w:val="auto"/>
          <w:szCs w:val="20"/>
        </w:rPr>
        <w:t>）</w:t>
      </w:r>
    </w:p>
    <w:p>
      <w:pPr>
        <w:pStyle w:val="14"/>
        <w:spacing w:line="293" w:lineRule="exact"/>
        <w:ind w:firstLine="420"/>
        <w:rPr>
          <w:color w:val="auto"/>
        </w:rPr>
      </w:pPr>
      <w:r>
        <w:rPr>
          <w:color w:val="auto"/>
        </w:rPr>
        <w:t>（二）学风建设标兵宿舍评选办法</w:t>
      </w:r>
    </w:p>
    <w:p>
      <w:pPr>
        <w:pStyle w:val="14"/>
        <w:spacing w:line="302" w:lineRule="exact"/>
        <w:ind w:firstLine="420"/>
        <w:rPr>
          <w:color w:val="auto"/>
        </w:rPr>
      </w:pPr>
      <w:r>
        <w:rPr>
          <w:rFonts w:hint="eastAsia"/>
          <w:color w:val="auto"/>
          <w:szCs w:val="20"/>
        </w:rPr>
        <w:t>（</w:t>
      </w:r>
      <w:r>
        <w:rPr>
          <w:rFonts w:ascii="Times New Roman" w:hAnsi="Times New Roman" w:eastAsia="Times New Roman" w:cs="Times New Roman"/>
          <w:color w:val="auto"/>
          <w:sz w:val="20"/>
          <w:szCs w:val="20"/>
        </w:rPr>
        <w:t>1</w:t>
      </w:r>
      <w:r>
        <w:rPr>
          <w:rFonts w:hint="eastAsia"/>
          <w:color w:val="auto"/>
          <w:szCs w:val="20"/>
        </w:rPr>
        <w:t>）</w:t>
      </w:r>
      <w:r>
        <w:rPr>
          <w:color w:val="auto"/>
        </w:rPr>
        <w:t>满足所有文明宿舍评比办法；</w:t>
      </w:r>
    </w:p>
    <w:p>
      <w:pPr>
        <w:pStyle w:val="28"/>
        <w:spacing w:after="0" w:line="302" w:lineRule="exact"/>
        <w:ind w:firstLine="420"/>
        <w:jc w:val="left"/>
        <w:rPr>
          <w:rFonts w:eastAsia="PMingLiU"/>
          <w:color w:val="auto"/>
        </w:rPr>
      </w:pPr>
      <w:r>
        <w:rPr>
          <w:rFonts w:ascii="宋体" w:hAnsi="宋体"/>
          <w:color w:val="auto"/>
          <w:sz w:val="18"/>
        </w:rPr>
        <w:t>（</w:t>
      </w:r>
      <w:r>
        <w:rPr>
          <w:color w:val="auto"/>
        </w:rPr>
        <w:t>2</w:t>
      </w:r>
      <w:r>
        <w:rPr>
          <w:rFonts w:ascii="宋体" w:hAnsi="宋体"/>
          <w:color w:val="auto"/>
          <w:sz w:val="18"/>
        </w:rPr>
        <w:t>）</w:t>
      </w:r>
      <w:r>
        <w:rPr>
          <w:rFonts w:ascii="宋体" w:hAnsi="宋体"/>
          <w:color w:val="auto"/>
          <w:sz w:val="18"/>
          <w:szCs w:val="18"/>
        </w:rPr>
        <w:t>上课出勤率为</w:t>
      </w:r>
      <w:r>
        <w:rPr>
          <w:color w:val="auto"/>
        </w:rPr>
        <w:t>100%</w:t>
      </w:r>
      <w:r>
        <w:rPr>
          <w:rFonts w:hint="eastAsia" w:ascii="宋体" w:hAnsi="宋体"/>
          <w:color w:val="auto"/>
        </w:rPr>
        <w:t>；</w:t>
      </w:r>
    </w:p>
    <w:p>
      <w:pPr>
        <w:pStyle w:val="14"/>
        <w:spacing w:line="302" w:lineRule="exact"/>
        <w:ind w:firstLine="420"/>
        <w:rPr>
          <w:color w:val="auto"/>
        </w:rPr>
      </w:pPr>
      <w:r>
        <w:rPr>
          <w:rFonts w:hint="eastAsia"/>
          <w:color w:val="auto"/>
          <w:szCs w:val="20"/>
        </w:rPr>
        <w:t>（</w:t>
      </w:r>
      <w:r>
        <w:rPr>
          <w:rFonts w:ascii="Times New Roman" w:hAnsi="Times New Roman" w:eastAsia="Times New Roman" w:cs="Times New Roman"/>
          <w:color w:val="auto"/>
          <w:sz w:val="20"/>
          <w:szCs w:val="20"/>
        </w:rPr>
        <w:t>3</w:t>
      </w:r>
      <w:r>
        <w:rPr>
          <w:rFonts w:hint="eastAsia"/>
          <w:color w:val="auto"/>
          <w:szCs w:val="20"/>
        </w:rPr>
        <w:t>）</w:t>
      </w:r>
      <w:r>
        <w:rPr>
          <w:color w:val="auto"/>
        </w:rPr>
        <w:t>无课程不及格现象；</w:t>
      </w:r>
    </w:p>
    <w:p>
      <w:pPr>
        <w:pStyle w:val="14"/>
        <w:spacing w:line="302" w:lineRule="exact"/>
        <w:ind w:firstLine="420"/>
        <w:rPr>
          <w:color w:val="auto"/>
        </w:rPr>
      </w:pPr>
      <w:r>
        <w:rPr>
          <w:color w:val="auto"/>
          <w:szCs w:val="20"/>
        </w:rPr>
        <w:t>（</w:t>
      </w:r>
      <w:r>
        <w:rPr>
          <w:rFonts w:ascii="Times New Roman" w:hAnsi="Times New Roman" w:eastAsia="Times New Roman" w:cs="Times New Roman"/>
          <w:color w:val="auto"/>
          <w:sz w:val="20"/>
          <w:szCs w:val="20"/>
        </w:rPr>
        <w:t>4</w:t>
      </w:r>
      <w:r>
        <w:rPr>
          <w:color w:val="auto"/>
          <w:szCs w:val="20"/>
        </w:rPr>
        <w:t>）</w:t>
      </w:r>
      <w:r>
        <w:rPr>
          <w:color w:val="auto"/>
        </w:rPr>
        <w:t>宿舍成员全部获奖学金；</w:t>
      </w:r>
    </w:p>
    <w:p>
      <w:pPr>
        <w:pStyle w:val="28"/>
        <w:spacing w:after="0" w:line="302" w:lineRule="exact"/>
        <w:ind w:firstLine="420"/>
        <w:jc w:val="left"/>
        <w:rPr>
          <w:color w:val="auto"/>
        </w:rPr>
      </w:pPr>
      <w:r>
        <w:rPr>
          <w:rFonts w:ascii="宋体" w:hAnsi="宋体"/>
          <w:color w:val="auto"/>
          <w:sz w:val="18"/>
          <w:szCs w:val="18"/>
        </w:rPr>
        <w:t>（</w:t>
      </w:r>
      <w:r>
        <w:rPr>
          <w:color w:val="auto"/>
        </w:rPr>
        <w:t>5</w:t>
      </w:r>
      <w:r>
        <w:rPr>
          <w:rFonts w:hint="eastAsia" w:ascii="宋体" w:hAnsi="宋体"/>
          <w:color w:val="auto"/>
          <w:sz w:val="18"/>
        </w:rPr>
        <w:t>）</w:t>
      </w:r>
      <w:r>
        <w:rPr>
          <w:color w:val="auto"/>
          <w:lang w:val="en-US" w:eastAsia="zh-CN" w:bidi="en-US"/>
        </w:rPr>
        <w:t>CET-4</w:t>
      </w:r>
      <w:r>
        <w:rPr>
          <w:rFonts w:ascii="宋体" w:hAnsi="宋体"/>
          <w:color w:val="auto"/>
          <w:sz w:val="18"/>
          <w:szCs w:val="18"/>
        </w:rPr>
        <w:t>通过率：二年级</w:t>
      </w:r>
      <w:r>
        <w:rPr>
          <w:color w:val="auto"/>
        </w:rPr>
        <w:t>50%</w:t>
      </w:r>
      <w:r>
        <w:rPr>
          <w:rFonts w:ascii="宋体" w:hAnsi="宋体"/>
          <w:color w:val="auto"/>
          <w:sz w:val="18"/>
          <w:szCs w:val="18"/>
        </w:rPr>
        <w:t>以上（含</w:t>
      </w:r>
      <w:r>
        <w:rPr>
          <w:color w:val="auto"/>
        </w:rPr>
        <w:t>50%</w:t>
      </w:r>
      <w:r>
        <w:rPr>
          <w:rFonts w:ascii="宋体" w:hAnsi="宋体"/>
          <w:color w:val="auto"/>
          <w:sz w:val="18"/>
          <w:szCs w:val="18"/>
        </w:rPr>
        <w:t>）；三年级</w:t>
      </w:r>
      <w:r>
        <w:rPr>
          <w:color w:val="auto"/>
        </w:rPr>
        <w:t>100%</w:t>
      </w:r>
      <w:r>
        <w:rPr>
          <w:rFonts w:ascii="宋体" w:hAnsi="宋体"/>
          <w:color w:val="auto"/>
        </w:rPr>
        <w:t>；</w:t>
      </w:r>
      <w:r>
        <w:rPr>
          <w:rFonts w:ascii="宋体" w:hAnsi="宋体"/>
          <w:color w:val="auto"/>
          <w:sz w:val="18"/>
          <w:szCs w:val="18"/>
        </w:rPr>
        <w:t>四年级</w:t>
      </w:r>
      <w:r>
        <w:rPr>
          <w:color w:val="auto"/>
          <w:lang w:val="en-US" w:eastAsia="zh-CN" w:bidi="en-US"/>
        </w:rPr>
        <w:t>CET-4</w:t>
      </w:r>
      <w:r>
        <w:rPr>
          <w:rFonts w:ascii="宋体" w:hAnsi="宋体"/>
          <w:color w:val="auto"/>
          <w:sz w:val="18"/>
          <w:szCs w:val="18"/>
        </w:rPr>
        <w:t>通过率</w:t>
      </w:r>
      <w:r>
        <w:rPr>
          <w:color w:val="auto"/>
        </w:rPr>
        <w:t>100%，</w:t>
      </w:r>
      <w:r>
        <w:rPr>
          <w:color w:val="auto"/>
          <w:lang w:val="en-US" w:eastAsia="zh-CN" w:bidi="en-US"/>
        </w:rPr>
        <w:t>CET-6</w:t>
      </w:r>
      <w:r>
        <w:rPr>
          <w:rFonts w:ascii="宋体" w:hAnsi="宋体"/>
          <w:color w:val="auto"/>
          <w:sz w:val="18"/>
          <w:szCs w:val="18"/>
        </w:rPr>
        <w:t>通过率</w:t>
      </w:r>
      <w:r>
        <w:rPr>
          <w:color w:val="auto"/>
        </w:rPr>
        <w:t>50%</w:t>
      </w:r>
      <w:r>
        <w:rPr>
          <w:rFonts w:ascii="宋体" w:hAnsi="宋体"/>
          <w:color w:val="auto"/>
          <w:sz w:val="18"/>
          <w:szCs w:val="18"/>
        </w:rPr>
        <w:t>以上</w:t>
      </w:r>
      <w:r>
        <w:rPr>
          <w:rFonts w:ascii="宋体" w:hAnsi="宋体"/>
          <w:i/>
          <w:iCs/>
          <w:color w:val="auto"/>
          <w:sz w:val="18"/>
          <w:szCs w:val="18"/>
        </w:rPr>
        <w:t>（</w:t>
      </w:r>
      <w:r>
        <w:rPr>
          <w:rFonts w:ascii="宋体" w:hAnsi="宋体"/>
          <w:color w:val="auto"/>
          <w:sz w:val="18"/>
          <w:szCs w:val="18"/>
        </w:rPr>
        <w:t>含</w:t>
      </w:r>
      <w:r>
        <w:rPr>
          <w:color w:val="auto"/>
        </w:rPr>
        <w:t>50%</w:t>
      </w:r>
      <w:r>
        <w:rPr>
          <w:color w:val="auto"/>
          <w:sz w:val="18"/>
          <w:lang w:val="en-US" w:eastAsia="zh-CN" w:bidi="en-US"/>
        </w:rPr>
        <w:t>）</w:t>
      </w:r>
      <w:r>
        <w:rPr>
          <w:color w:val="auto"/>
          <w:vertAlign w:val="subscript"/>
          <w:lang w:val="en-US" w:eastAsia="zh-CN" w:bidi="en-US"/>
        </w:rPr>
        <w:t>o</w:t>
      </w:r>
    </w:p>
    <w:p>
      <w:pPr>
        <w:pStyle w:val="14"/>
        <w:spacing w:line="302" w:lineRule="exact"/>
        <w:ind w:firstLine="420"/>
        <w:rPr>
          <w:color w:val="auto"/>
        </w:rPr>
      </w:pPr>
      <w:r>
        <w:rPr>
          <w:color w:val="auto"/>
        </w:rPr>
        <w:t>（三）优秀宿舍长评选办法</w:t>
      </w:r>
    </w:p>
    <w:p>
      <w:pPr>
        <w:pStyle w:val="14"/>
        <w:spacing w:line="302" w:lineRule="exact"/>
        <w:ind w:firstLine="420"/>
        <w:rPr>
          <w:rFonts w:eastAsia="PMingLiU"/>
          <w:color w:val="auto"/>
        </w:rPr>
      </w:pPr>
      <w:r>
        <w:rPr>
          <w:color w:val="auto"/>
        </w:rPr>
        <w:t>（</w:t>
      </w:r>
      <w:r>
        <w:rPr>
          <w:rFonts w:ascii="Times New Roman" w:hAnsi="Times New Roman" w:eastAsia="Times New Roman" w:cs="Times New Roman"/>
          <w:color w:val="auto"/>
          <w:sz w:val="20"/>
          <w:szCs w:val="20"/>
        </w:rPr>
        <w:t>1</w:t>
      </w:r>
      <w:r>
        <w:rPr>
          <w:rFonts w:hint="eastAsia"/>
          <w:color w:val="auto"/>
          <w:szCs w:val="20"/>
        </w:rPr>
        <w:t>）</w:t>
      </w:r>
      <w:r>
        <w:rPr>
          <w:color w:val="auto"/>
        </w:rPr>
        <w:t>担任宿舍长工作积极主动、认真负责，带领宿舍成员做好宿舍的各项工作，积极配合辅导员和宿舍管理员等开展工作</w:t>
      </w:r>
      <w:r>
        <w:rPr>
          <w:rFonts w:hint="eastAsia"/>
          <w:color w:val="auto"/>
        </w:rPr>
        <w:t>；</w:t>
      </w:r>
    </w:p>
    <w:p>
      <w:pPr>
        <w:pStyle w:val="14"/>
        <w:spacing w:line="293" w:lineRule="exact"/>
        <w:ind w:firstLine="420"/>
        <w:rPr>
          <w:rFonts w:eastAsia="PMingLiU"/>
          <w:color w:val="auto"/>
        </w:rPr>
      </w:pPr>
      <w:r>
        <w:rPr>
          <w:color w:val="auto"/>
          <w:szCs w:val="20"/>
        </w:rPr>
        <w:t>（</w:t>
      </w:r>
      <w:r>
        <w:rPr>
          <w:rFonts w:ascii="Times New Roman" w:hAnsi="Times New Roman" w:eastAsia="Times New Roman" w:cs="Times New Roman"/>
          <w:color w:val="auto"/>
          <w:sz w:val="20"/>
          <w:szCs w:val="20"/>
        </w:rPr>
        <w:t>2</w:t>
      </w:r>
      <w:r>
        <w:rPr>
          <w:color w:val="auto"/>
          <w:szCs w:val="20"/>
        </w:rPr>
        <w:t>）</w:t>
      </w:r>
      <w:r>
        <w:rPr>
          <w:color w:val="auto"/>
        </w:rPr>
        <w:t>所在宿舍被评为</w:t>
      </w:r>
      <w:r>
        <w:rPr>
          <w:color w:val="auto"/>
          <w:lang w:val="zh-CN" w:eastAsia="zh-CN" w:bidi="zh-CN"/>
        </w:rPr>
        <w:t>“优良</w:t>
      </w:r>
      <w:r>
        <w:rPr>
          <w:color w:val="auto"/>
        </w:rPr>
        <w:t>学风标兵</w:t>
      </w:r>
      <w:r>
        <w:rPr>
          <w:rFonts w:hint="eastAsia"/>
          <w:color w:val="auto"/>
        </w:rPr>
        <w:t>宿舍”</w:t>
      </w:r>
      <w:r>
        <w:rPr>
          <w:color w:val="auto"/>
        </w:rPr>
        <w:t>或</w:t>
      </w:r>
      <w:r>
        <w:rPr>
          <w:color w:val="auto"/>
          <w:lang w:val="zh-CN" w:eastAsia="zh-CN" w:bidi="zh-CN"/>
        </w:rPr>
        <w:t>“文明</w:t>
      </w:r>
      <w:r>
        <w:rPr>
          <w:color w:val="auto"/>
        </w:rPr>
        <w:t>宿舍”</w:t>
      </w:r>
      <w:r>
        <w:rPr>
          <w:rFonts w:hint="eastAsia"/>
          <w:color w:val="auto"/>
        </w:rPr>
        <w:t>；</w:t>
      </w:r>
    </w:p>
    <w:p>
      <w:pPr>
        <w:pStyle w:val="14"/>
        <w:spacing w:after="240" w:line="293" w:lineRule="exact"/>
        <w:ind w:firstLine="420"/>
        <w:rPr>
          <w:color w:val="auto"/>
        </w:rPr>
      </w:pPr>
      <w:r>
        <w:rPr>
          <w:color w:val="auto"/>
          <w:szCs w:val="20"/>
        </w:rPr>
        <w:t>（</w:t>
      </w:r>
      <w:r>
        <w:rPr>
          <w:rFonts w:ascii="Times New Roman" w:hAnsi="Times New Roman" w:eastAsia="Times New Roman" w:cs="Times New Roman"/>
          <w:color w:val="auto"/>
          <w:sz w:val="20"/>
          <w:szCs w:val="20"/>
        </w:rPr>
        <w:t>3</w:t>
      </w:r>
      <w:r>
        <w:rPr>
          <w:color w:val="auto"/>
          <w:szCs w:val="20"/>
        </w:rPr>
        <w:t>）</w:t>
      </w:r>
      <w:r>
        <w:rPr>
          <w:color w:val="auto"/>
        </w:rPr>
        <w:t>无违纪行为。</w:t>
      </w:r>
    </w:p>
    <w:p>
      <w:pPr>
        <w:pStyle w:val="22"/>
        <w:spacing w:after="0"/>
        <w:ind w:firstLine="420"/>
        <w:rPr>
          <w:b/>
          <w:bCs/>
          <w:color w:val="auto"/>
        </w:rPr>
      </w:pPr>
      <w:bookmarkStart w:id="496" w:name="bookmark859"/>
      <w:r>
        <w:rPr>
          <w:b/>
          <w:bCs/>
          <w:color w:val="auto"/>
        </w:rPr>
        <w:t>四</w:t>
      </w:r>
      <w:bookmarkEnd w:id="496"/>
      <w:r>
        <w:rPr>
          <w:b/>
          <w:bCs/>
          <w:color w:val="auto"/>
        </w:rPr>
        <w:t>、本办法解释权属学生工作处。</w:t>
      </w:r>
    </w:p>
    <w:p>
      <w:pPr>
        <w:rPr>
          <w:rFonts w:ascii="宋体" w:hAnsi="宋体"/>
          <w:color w:val="auto"/>
          <w:sz w:val="22"/>
          <w:szCs w:val="22"/>
          <w:lang w:val="zh-TW" w:eastAsia="zh-TW" w:bidi="zh-TW"/>
        </w:rPr>
      </w:pPr>
      <w:r>
        <w:rPr>
          <w:color w:val="auto"/>
          <w:lang w:eastAsia="zh-CN"/>
        </w:rPr>
        <w:br w:type="page"/>
      </w:r>
    </w:p>
    <w:p>
      <w:pPr>
        <w:pStyle w:val="12"/>
        <w:keepNext/>
        <w:keepLines/>
        <w:spacing w:before="820" w:after="480" w:line="581" w:lineRule="exact"/>
        <w:rPr>
          <w:color w:val="auto"/>
          <w:highlight w:val="none"/>
        </w:rPr>
      </w:pPr>
      <w:bookmarkStart w:id="497" w:name="bookmark861"/>
      <w:bookmarkStart w:id="498" w:name="bookmark862"/>
      <w:bookmarkStart w:id="499" w:name="bookmark860"/>
      <w:bookmarkStart w:id="500" w:name="bookmark863"/>
      <w:bookmarkStart w:id="501" w:name="bookmark865"/>
      <w:bookmarkStart w:id="502" w:name="bookmark864"/>
      <w:r>
        <w:rPr>
          <w:color w:val="auto"/>
          <w:highlight w:val="none"/>
        </w:rPr>
        <w:t>南京航空航天大学金城学院</w:t>
      </w:r>
      <w:r>
        <w:rPr>
          <w:color w:val="auto"/>
          <w:highlight w:val="none"/>
        </w:rPr>
        <w:br w:type="textWrapping"/>
      </w:r>
      <w:r>
        <w:rPr>
          <w:color w:val="auto"/>
          <w:highlight w:val="none"/>
        </w:rPr>
        <w:t>学生勤工助学管理办法</w:t>
      </w:r>
      <w:bookmarkEnd w:id="497"/>
      <w:bookmarkEnd w:id="498"/>
      <w:bookmarkEnd w:id="499"/>
    </w:p>
    <w:p>
      <w:pPr>
        <w:pStyle w:val="18"/>
        <w:keepNext/>
        <w:keepLines/>
        <w:spacing w:after="320"/>
        <w:rPr>
          <w:b/>
          <w:bCs/>
          <w:color w:val="auto"/>
        </w:rPr>
      </w:pPr>
      <w:r>
        <w:rPr>
          <w:b/>
          <w:bCs/>
          <w:color w:val="auto"/>
        </w:rPr>
        <w:t>第一章总则</w:t>
      </w:r>
      <w:bookmarkEnd w:id="500"/>
      <w:bookmarkEnd w:id="501"/>
      <w:bookmarkEnd w:id="502"/>
    </w:p>
    <w:p>
      <w:pPr>
        <w:pStyle w:val="14"/>
        <w:spacing w:line="302" w:lineRule="exact"/>
        <w:ind w:firstLine="420"/>
        <w:jc w:val="both"/>
        <w:rPr>
          <w:color w:val="auto"/>
        </w:rPr>
      </w:pPr>
      <w:r>
        <w:rPr>
          <w:b/>
          <w:bCs/>
          <w:color w:val="auto"/>
        </w:rPr>
        <w:t>第一条</w:t>
      </w:r>
      <w:r>
        <w:rPr>
          <w:color w:val="auto"/>
        </w:rPr>
        <w:t>勤工助学是学校学生资助工作的重要组成部分，是提高学生综合素质和资助家庭经济困难学生的有效途径。为进一步建立和完善我校大学生资助政策体系与成才服务保障机制，规范管理我校学生勤工助学工作，促进我校大学生勤工助学活动健康、有序的开展，根据《江苏省教育厅江苏省财政厅关于转发</w:t>
      </w:r>
      <w:r>
        <w:rPr>
          <w:color w:val="auto"/>
          <w:lang w:val="zh-CN" w:eastAsia="zh-CN" w:bidi="zh-CN"/>
        </w:rPr>
        <w:t>&lt;</w:t>
      </w:r>
      <w:r>
        <w:rPr>
          <w:color w:val="auto"/>
        </w:rPr>
        <w:t>高等学校学生勤工助学管理办法（教财〔</w:t>
      </w:r>
      <w:r>
        <w:rPr>
          <w:rFonts w:ascii="Times New Roman" w:hAnsi="Times New Roman" w:eastAsia="Times New Roman" w:cs="Times New Roman"/>
          <w:color w:val="auto"/>
          <w:sz w:val="20"/>
          <w:szCs w:val="20"/>
        </w:rPr>
        <w:t>2007</w:t>
      </w:r>
      <w:r>
        <w:rPr>
          <w:color w:val="auto"/>
        </w:rPr>
        <w:t>〕</w:t>
      </w:r>
      <w:r>
        <w:rPr>
          <w:rFonts w:ascii="Times New Roman" w:hAnsi="Times New Roman" w:eastAsia="Times New Roman" w:cs="Times New Roman"/>
          <w:color w:val="auto"/>
          <w:sz w:val="20"/>
          <w:szCs w:val="20"/>
        </w:rPr>
        <w:t>7</w:t>
      </w:r>
      <w:r>
        <w:rPr>
          <w:color w:val="auto"/>
          <w:lang w:val="zh-CN" w:eastAsia="zh-CN" w:bidi="zh-CN"/>
        </w:rPr>
        <w:t>号文〉</w:t>
      </w:r>
      <w:r>
        <w:rPr>
          <w:color w:val="auto"/>
        </w:rPr>
        <w:t>的通知》（苏教财〔</w:t>
      </w:r>
      <w:r>
        <w:rPr>
          <w:rFonts w:ascii="Times New Roman" w:hAnsi="Times New Roman" w:eastAsia="Times New Roman" w:cs="Times New Roman"/>
          <w:color w:val="auto"/>
          <w:sz w:val="20"/>
          <w:szCs w:val="20"/>
        </w:rPr>
        <w:t>2007</w:t>
      </w:r>
      <w:r>
        <w:rPr>
          <w:color w:val="auto"/>
        </w:rPr>
        <w:t>〕</w:t>
      </w:r>
      <w:r>
        <w:rPr>
          <w:rFonts w:ascii="Times New Roman" w:hAnsi="Times New Roman" w:eastAsia="Times New Roman" w:cs="Times New Roman"/>
          <w:color w:val="auto"/>
          <w:sz w:val="20"/>
          <w:szCs w:val="20"/>
        </w:rPr>
        <w:t>48</w:t>
      </w:r>
      <w:r>
        <w:rPr>
          <w:color w:val="auto"/>
        </w:rPr>
        <w:t>号、苏财教〔</w:t>
      </w:r>
      <w:r>
        <w:rPr>
          <w:rFonts w:ascii="Times New Roman" w:hAnsi="Times New Roman" w:eastAsia="Times New Roman" w:cs="Times New Roman"/>
          <w:color w:val="auto"/>
          <w:sz w:val="20"/>
          <w:szCs w:val="20"/>
        </w:rPr>
        <w:t>2007</w:t>
      </w:r>
      <w:r>
        <w:rPr>
          <w:color w:val="auto"/>
        </w:rPr>
        <w:t>〕</w:t>
      </w:r>
      <w:r>
        <w:rPr>
          <w:rFonts w:ascii="Times New Roman" w:hAnsi="Times New Roman" w:eastAsia="Times New Roman" w:cs="Times New Roman"/>
          <w:color w:val="auto"/>
          <w:sz w:val="20"/>
          <w:szCs w:val="20"/>
        </w:rPr>
        <w:t>126</w:t>
      </w:r>
      <w:r>
        <w:rPr>
          <w:color w:val="auto"/>
        </w:rPr>
        <w:t>号）的文件精神，结合我校实际情况，特制定本办法。</w:t>
      </w:r>
    </w:p>
    <w:p>
      <w:pPr>
        <w:pStyle w:val="14"/>
        <w:spacing w:line="301" w:lineRule="exact"/>
        <w:ind w:firstLine="420"/>
        <w:jc w:val="both"/>
        <w:rPr>
          <w:color w:val="auto"/>
        </w:rPr>
      </w:pPr>
      <w:r>
        <w:rPr>
          <w:b/>
          <w:bCs/>
          <w:color w:val="auto"/>
        </w:rPr>
        <w:t>第二条</w:t>
      </w:r>
      <w:r>
        <w:rPr>
          <w:color w:val="auto"/>
        </w:rPr>
        <w:t>本办法所称学生是指我校全日制在校学生。</w:t>
      </w:r>
    </w:p>
    <w:p>
      <w:pPr>
        <w:pStyle w:val="14"/>
        <w:spacing w:line="301" w:lineRule="exact"/>
        <w:ind w:firstLine="420"/>
        <w:jc w:val="both"/>
        <w:rPr>
          <w:color w:val="auto"/>
        </w:rPr>
      </w:pPr>
      <w:r>
        <w:rPr>
          <w:b/>
          <w:bCs/>
          <w:color w:val="auto"/>
        </w:rPr>
        <w:t>第三条</w:t>
      </w:r>
      <w:r>
        <w:rPr>
          <w:color w:val="auto"/>
        </w:rPr>
        <w:t>本办法所称勤工助学活动是指学生在学校的组织下利用课余时间，通过劳动取得合法报酬，用于改善学习和生活条件的社会实践活动。</w:t>
      </w:r>
    </w:p>
    <w:p>
      <w:pPr>
        <w:pStyle w:val="14"/>
        <w:spacing w:line="301" w:lineRule="exact"/>
        <w:ind w:firstLine="420"/>
        <w:jc w:val="both"/>
        <w:rPr>
          <w:color w:val="auto"/>
        </w:rPr>
      </w:pPr>
      <w:r>
        <w:rPr>
          <w:b/>
          <w:bCs/>
          <w:color w:val="auto"/>
        </w:rPr>
        <w:t>第四条</w:t>
      </w:r>
      <w:r>
        <w:rPr>
          <w:color w:val="auto"/>
        </w:rPr>
        <w:t>我校勤工助学活动坚持</w:t>
      </w:r>
      <w:r>
        <w:rPr>
          <w:color w:val="auto"/>
          <w:lang w:val="zh-CN" w:eastAsia="zh-CN" w:bidi="zh-CN"/>
        </w:rPr>
        <w:t>“以</w:t>
      </w:r>
      <w:r>
        <w:rPr>
          <w:color w:val="auto"/>
        </w:rPr>
        <w:t>人为本、立足校园、帮助学生、服务学生</w:t>
      </w:r>
      <w:r>
        <w:rPr>
          <w:rFonts w:hint="eastAsia"/>
          <w:color w:val="auto"/>
        </w:rPr>
        <w:t>”</w:t>
      </w:r>
      <w:r>
        <w:rPr>
          <w:color w:val="auto"/>
        </w:rPr>
        <w:t>的宗旨，按照</w:t>
      </w:r>
      <w:r>
        <w:rPr>
          <w:color w:val="auto"/>
          <w:lang w:val="zh-CN" w:eastAsia="zh-CN" w:bidi="zh-CN"/>
        </w:rPr>
        <w:t>“学有</w:t>
      </w:r>
      <w:r>
        <w:rPr>
          <w:color w:val="auto"/>
        </w:rPr>
        <w:t>余力、自愿申请、信息公开、扶困优先、竞争上岗、遵纪守法”的原则，充分发挥勤工助学岗位的育人功能，结合用工单位需要和学生的日常表现以及学习成绩，在不影响学校正常教学秩序和学生正常学习的前提下有组织地开展，以培养学生的劳动观念和自我服务、自我管理、自我教育的能力。同时，也保证经济上有困难的学生得到必要的资助，以便完成学业。学校积极鼓励校内各有关职能部门在工作安排、人员分配、资金落实、办公场地</w:t>
      </w:r>
      <w:r>
        <w:rPr>
          <w:rFonts w:hint="eastAsia"/>
          <w:color w:val="auto"/>
        </w:rPr>
        <w:t>、</w:t>
      </w:r>
      <w:r>
        <w:rPr>
          <w:color w:val="auto"/>
        </w:rPr>
        <w:t>活动场所以及助学岗位设置等方面给予支持，为学校学生勤工助学活动提供指导、服务与保障。</w:t>
      </w:r>
    </w:p>
    <w:p>
      <w:pPr>
        <w:pStyle w:val="14"/>
        <w:spacing w:after="380" w:line="301" w:lineRule="exact"/>
        <w:ind w:firstLine="420"/>
        <w:jc w:val="both"/>
        <w:rPr>
          <w:color w:val="auto"/>
        </w:rPr>
      </w:pPr>
      <w:r>
        <w:rPr>
          <w:b/>
          <w:bCs/>
          <w:color w:val="auto"/>
        </w:rPr>
        <w:t>第五条</w:t>
      </w:r>
      <w:r>
        <w:rPr>
          <w:color w:val="auto"/>
        </w:rPr>
        <w:t>学生勤工助学活动由学校统一组织和管理，校学生资助管理中心具体负责。学生私自在校外勤工助学行为，不在本办法规定之列。</w:t>
      </w:r>
    </w:p>
    <w:p>
      <w:pPr>
        <w:pStyle w:val="18"/>
        <w:keepNext/>
        <w:keepLines/>
        <w:spacing w:after="320"/>
        <w:rPr>
          <w:b/>
          <w:bCs/>
          <w:color w:val="auto"/>
        </w:rPr>
      </w:pPr>
      <w:bookmarkStart w:id="503" w:name="bookmark867"/>
      <w:bookmarkStart w:id="504" w:name="bookmark868"/>
      <w:bookmarkStart w:id="505" w:name="bookmark866"/>
      <w:r>
        <w:rPr>
          <w:b/>
          <w:bCs/>
          <w:color w:val="auto"/>
        </w:rPr>
        <w:t>第二章组织机构</w:t>
      </w:r>
      <w:bookmarkEnd w:id="503"/>
      <w:bookmarkEnd w:id="504"/>
      <w:bookmarkEnd w:id="505"/>
    </w:p>
    <w:p>
      <w:pPr>
        <w:pStyle w:val="14"/>
        <w:spacing w:line="300" w:lineRule="exact"/>
        <w:ind w:firstLine="420"/>
        <w:jc w:val="both"/>
        <w:rPr>
          <w:color w:val="auto"/>
        </w:rPr>
      </w:pPr>
      <w:r>
        <w:rPr>
          <w:b/>
          <w:bCs/>
          <w:color w:val="auto"/>
        </w:rPr>
        <w:t>第六条</w:t>
      </w:r>
      <w:r>
        <w:rPr>
          <w:color w:val="auto"/>
        </w:rPr>
        <w:t>学校成立学生勤工助学管理委员会，委员会由教学科研处、学生工作处、人事质量保障处、财务处、</w:t>
      </w:r>
      <w:r>
        <w:rPr>
          <w:rFonts w:hint="eastAsia"/>
          <w:color w:val="auto"/>
          <w:lang w:eastAsia="zh-CN"/>
        </w:rPr>
        <w:t>后勤保卫处</w:t>
      </w:r>
      <w:r>
        <w:rPr>
          <w:color w:val="auto"/>
        </w:rPr>
        <w:t>、</w:t>
      </w:r>
      <w:r>
        <w:rPr>
          <w:rFonts w:hint="eastAsia"/>
          <w:color w:val="auto"/>
          <w:lang w:eastAsia="zh-CN"/>
        </w:rPr>
        <w:t>后勤保卫处</w:t>
      </w:r>
      <w:r>
        <w:rPr>
          <w:color w:val="auto"/>
        </w:rPr>
        <w:t>等部门的负责同志组成。</w:t>
      </w:r>
    </w:p>
    <w:p>
      <w:pPr>
        <w:pStyle w:val="14"/>
        <w:spacing w:line="300" w:lineRule="exact"/>
        <w:ind w:firstLine="420"/>
        <w:jc w:val="both"/>
        <w:rPr>
          <w:color w:val="auto"/>
        </w:rPr>
      </w:pPr>
      <w:r>
        <w:rPr>
          <w:b/>
          <w:bCs/>
          <w:color w:val="auto"/>
        </w:rPr>
        <w:t>第七条</w:t>
      </w:r>
      <w:r>
        <w:rPr>
          <w:color w:val="auto"/>
        </w:rPr>
        <w:t>校学生资助管理中心为学校勤工助学管理委员会下属的日常办事机构，具体负责全校勤工助学的日常管理工作。</w:t>
      </w:r>
    </w:p>
    <w:p>
      <w:pPr>
        <w:pStyle w:val="14"/>
        <w:spacing w:after="380" w:line="300" w:lineRule="exact"/>
        <w:ind w:firstLine="420"/>
        <w:jc w:val="both"/>
        <w:rPr>
          <w:color w:val="auto"/>
        </w:rPr>
      </w:pPr>
      <w:r>
        <w:rPr>
          <w:b/>
          <w:bCs/>
          <w:color w:val="auto"/>
        </w:rPr>
        <w:t>第八条</w:t>
      </w:r>
      <w:r>
        <w:rPr>
          <w:color w:val="auto"/>
        </w:rPr>
        <w:t>学生会等学生组织应协助校学生资助管理中心共同做好勤工助学工作。</w:t>
      </w:r>
    </w:p>
    <w:p>
      <w:pPr>
        <w:pStyle w:val="18"/>
        <w:keepNext/>
        <w:keepLines/>
        <w:spacing w:after="320"/>
        <w:rPr>
          <w:b/>
          <w:bCs/>
          <w:color w:val="auto"/>
        </w:rPr>
      </w:pPr>
      <w:bookmarkStart w:id="506" w:name="bookmark871"/>
      <w:bookmarkStart w:id="507" w:name="bookmark870"/>
      <w:bookmarkStart w:id="508" w:name="bookmark869"/>
      <w:r>
        <w:rPr>
          <w:b/>
          <w:bCs/>
          <w:color w:val="auto"/>
        </w:rPr>
        <w:t>第三章勤工助学各方职责</w:t>
      </w:r>
      <w:bookmarkEnd w:id="506"/>
      <w:bookmarkEnd w:id="507"/>
      <w:bookmarkEnd w:id="508"/>
    </w:p>
    <w:p>
      <w:pPr>
        <w:pStyle w:val="14"/>
        <w:spacing w:line="276" w:lineRule="auto"/>
        <w:ind w:firstLine="420"/>
        <w:jc w:val="both"/>
        <w:rPr>
          <w:color w:val="auto"/>
        </w:rPr>
      </w:pPr>
      <w:r>
        <w:rPr>
          <w:b/>
          <w:bCs/>
          <w:color w:val="auto"/>
        </w:rPr>
        <w:t>第九条</w:t>
      </w:r>
      <w:r>
        <w:rPr>
          <w:color w:val="auto"/>
        </w:rPr>
        <w:t>学校勤工助学管理委员会职责</w:t>
      </w:r>
    </w:p>
    <w:p>
      <w:pPr>
        <w:pStyle w:val="14"/>
        <w:spacing w:line="276" w:lineRule="auto"/>
        <w:ind w:firstLine="420"/>
        <w:jc w:val="both"/>
        <w:rPr>
          <w:rFonts w:eastAsia="PMingLiU"/>
          <w:color w:val="auto"/>
        </w:rPr>
      </w:pPr>
      <w:r>
        <w:rPr>
          <w:color w:val="auto"/>
        </w:rPr>
        <w:t>（一）根据国家有关规定，结合学校的实际情况，研究制定学校勤工助学的政策</w:t>
      </w:r>
      <w:bookmarkStart w:id="509" w:name="bookmark873"/>
      <w:r>
        <w:rPr>
          <w:rFonts w:hint="eastAsia"/>
          <w:color w:val="auto"/>
        </w:rPr>
        <w:t>；</w:t>
      </w:r>
    </w:p>
    <w:p>
      <w:pPr>
        <w:pStyle w:val="14"/>
        <w:spacing w:line="276" w:lineRule="auto"/>
        <w:ind w:firstLine="420"/>
        <w:jc w:val="both"/>
        <w:rPr>
          <w:rFonts w:eastAsia="PMingLiU"/>
          <w:color w:val="auto"/>
        </w:rPr>
      </w:pPr>
      <w:r>
        <w:rPr>
          <w:color w:val="auto"/>
          <w:lang w:val="zh-CN" w:eastAsia="zh-CN" w:bidi="zh-CN"/>
        </w:rPr>
        <w:t>（</w:t>
      </w:r>
      <w:bookmarkEnd w:id="509"/>
      <w:r>
        <w:rPr>
          <w:color w:val="auto"/>
        </w:rPr>
        <w:t>二）审核和批准勤工助学专项经费的使用与管理办法</w:t>
      </w:r>
      <w:r>
        <w:rPr>
          <w:rFonts w:hint="eastAsia"/>
          <w:color w:val="auto"/>
        </w:rPr>
        <w:t>；</w:t>
      </w:r>
    </w:p>
    <w:p>
      <w:pPr>
        <w:pStyle w:val="14"/>
        <w:spacing w:line="295" w:lineRule="exact"/>
        <w:ind w:firstLine="420"/>
        <w:jc w:val="both"/>
        <w:rPr>
          <w:rFonts w:eastAsia="PMingLiU"/>
          <w:color w:val="auto"/>
        </w:rPr>
      </w:pPr>
      <w:r>
        <w:rPr>
          <w:color w:val="auto"/>
        </w:rPr>
        <w:t>（三）审核和批准学校勤工助学活动实施方案</w:t>
      </w:r>
      <w:r>
        <w:rPr>
          <w:rFonts w:hint="eastAsia"/>
          <w:color w:val="auto"/>
        </w:rPr>
        <w:t>；</w:t>
      </w:r>
    </w:p>
    <w:p>
      <w:pPr>
        <w:pStyle w:val="14"/>
        <w:spacing w:line="295" w:lineRule="exact"/>
        <w:ind w:firstLine="420"/>
        <w:jc w:val="both"/>
        <w:rPr>
          <w:color w:val="auto"/>
        </w:rPr>
      </w:pPr>
      <w:r>
        <w:rPr>
          <w:color w:val="auto"/>
        </w:rPr>
        <w:t>（四）加强领导，协调学校有关部门在勤工助学活动中的工作。</w:t>
      </w:r>
    </w:p>
    <w:p>
      <w:pPr>
        <w:pStyle w:val="14"/>
        <w:spacing w:line="295" w:lineRule="exact"/>
        <w:ind w:firstLine="420"/>
        <w:jc w:val="both"/>
        <w:rPr>
          <w:color w:val="auto"/>
        </w:rPr>
      </w:pPr>
      <w:r>
        <w:rPr>
          <w:b/>
          <w:bCs/>
          <w:color w:val="auto"/>
        </w:rPr>
        <w:t>第十条</w:t>
      </w:r>
      <w:r>
        <w:rPr>
          <w:color w:val="auto"/>
        </w:rPr>
        <w:t>校学生资助管理中心职责</w:t>
      </w:r>
    </w:p>
    <w:p>
      <w:pPr>
        <w:pStyle w:val="14"/>
        <w:spacing w:line="295" w:lineRule="exact"/>
        <w:ind w:firstLine="420"/>
        <w:jc w:val="both"/>
        <w:rPr>
          <w:rFonts w:eastAsia="PMingLiU"/>
          <w:color w:val="auto"/>
        </w:rPr>
      </w:pPr>
      <w:r>
        <w:rPr>
          <w:color w:val="auto"/>
        </w:rPr>
        <w:t>（</w:t>
      </w:r>
      <w:r>
        <w:rPr>
          <w:rFonts w:hint="eastAsia"/>
          <w:color w:val="auto"/>
        </w:rPr>
        <w:t>一</w:t>
      </w:r>
      <w:r>
        <w:rPr>
          <w:color w:val="auto"/>
        </w:rPr>
        <w:t>）制定勤工助学专项经费的使用与管理办法</w:t>
      </w:r>
      <w:r>
        <w:rPr>
          <w:rFonts w:hint="eastAsia"/>
          <w:color w:val="auto"/>
        </w:rPr>
        <w:t>；</w:t>
      </w:r>
    </w:p>
    <w:p>
      <w:pPr>
        <w:pStyle w:val="14"/>
        <w:spacing w:line="295" w:lineRule="exact"/>
        <w:ind w:firstLine="420"/>
        <w:jc w:val="both"/>
        <w:rPr>
          <w:rFonts w:eastAsia="PMingLiU"/>
          <w:color w:val="auto"/>
        </w:rPr>
      </w:pPr>
      <w:r>
        <w:rPr>
          <w:color w:val="auto"/>
        </w:rPr>
        <w:t>（二）制定并不断完善学校学生勤工助学活动实施方案</w:t>
      </w:r>
      <w:r>
        <w:rPr>
          <w:rFonts w:hint="eastAsia"/>
          <w:color w:val="auto"/>
        </w:rPr>
        <w:t>；</w:t>
      </w:r>
    </w:p>
    <w:p>
      <w:pPr>
        <w:pStyle w:val="14"/>
        <w:spacing w:line="295" w:lineRule="exact"/>
        <w:ind w:firstLine="420"/>
        <w:jc w:val="both"/>
        <w:rPr>
          <w:rFonts w:eastAsia="PMingLiU"/>
          <w:color w:val="auto"/>
        </w:rPr>
      </w:pPr>
      <w:r>
        <w:rPr>
          <w:color w:val="auto"/>
        </w:rPr>
        <w:t>（三）加强对学生勤工助学的规范管理，指导开展相关工作</w:t>
      </w:r>
      <w:r>
        <w:rPr>
          <w:rFonts w:hint="eastAsia"/>
          <w:color w:val="auto"/>
        </w:rPr>
        <w:t>；</w:t>
      </w:r>
    </w:p>
    <w:p>
      <w:pPr>
        <w:pStyle w:val="14"/>
        <w:spacing w:line="295" w:lineRule="exact"/>
        <w:ind w:firstLine="420"/>
        <w:jc w:val="both"/>
        <w:rPr>
          <w:rFonts w:eastAsia="PMingLiU"/>
          <w:color w:val="auto"/>
        </w:rPr>
      </w:pPr>
      <w:r>
        <w:rPr>
          <w:color w:val="auto"/>
        </w:rPr>
        <w:t>（四）加强对勤工助学学生的思想政治教育，帮助他们树立正确的劳动观与价值观</w:t>
      </w:r>
      <w:r>
        <w:rPr>
          <w:rFonts w:hint="eastAsia"/>
          <w:color w:val="auto"/>
        </w:rPr>
        <w:t>；</w:t>
      </w:r>
    </w:p>
    <w:p>
      <w:pPr>
        <w:pStyle w:val="14"/>
        <w:spacing w:line="295" w:lineRule="exact"/>
        <w:ind w:firstLine="420"/>
        <w:jc w:val="both"/>
        <w:rPr>
          <w:rFonts w:eastAsia="PMingLiU"/>
          <w:color w:val="auto"/>
        </w:rPr>
      </w:pPr>
      <w:r>
        <w:rPr>
          <w:color w:val="auto"/>
        </w:rPr>
        <w:t>（五）对在勤工助学活动中表现突出的学生和优秀指导教师予以表彰与奖励</w:t>
      </w:r>
      <w:r>
        <w:rPr>
          <w:rFonts w:hint="eastAsia"/>
          <w:color w:val="auto"/>
        </w:rPr>
        <w:t>；</w:t>
      </w:r>
    </w:p>
    <w:p>
      <w:pPr>
        <w:pStyle w:val="14"/>
        <w:spacing w:line="295" w:lineRule="exact"/>
        <w:ind w:firstLine="420"/>
        <w:jc w:val="both"/>
        <w:rPr>
          <w:rFonts w:eastAsia="PMingLiU"/>
          <w:color w:val="auto"/>
        </w:rPr>
      </w:pPr>
      <w:r>
        <w:rPr>
          <w:color w:val="auto"/>
        </w:rPr>
        <w:t>（六）对违反勤工助学协议的学生，按照协议中止其勤工助学活动</w:t>
      </w:r>
      <w:r>
        <w:rPr>
          <w:rFonts w:hint="eastAsia"/>
          <w:color w:val="auto"/>
        </w:rPr>
        <w:t>；</w:t>
      </w:r>
    </w:p>
    <w:p>
      <w:pPr>
        <w:pStyle w:val="14"/>
        <w:spacing w:line="295" w:lineRule="exact"/>
        <w:ind w:firstLine="420"/>
        <w:jc w:val="both"/>
        <w:rPr>
          <w:color w:val="auto"/>
        </w:rPr>
      </w:pPr>
      <w:r>
        <w:rPr>
          <w:color w:val="auto"/>
        </w:rPr>
        <w:t>（七）对在勤工助学活动中违法校纪校规的，按照学校管理规定进行教育与处理。</w:t>
      </w:r>
    </w:p>
    <w:p>
      <w:pPr>
        <w:pStyle w:val="14"/>
        <w:spacing w:line="295" w:lineRule="exact"/>
        <w:ind w:firstLine="420"/>
        <w:jc w:val="both"/>
        <w:rPr>
          <w:color w:val="auto"/>
        </w:rPr>
      </w:pPr>
      <w:r>
        <w:rPr>
          <w:b/>
          <w:bCs/>
          <w:color w:val="auto"/>
        </w:rPr>
        <w:t>第十一条</w:t>
      </w:r>
      <w:r>
        <w:rPr>
          <w:color w:val="auto"/>
        </w:rPr>
        <w:t>校学生资助管理中心具体工作</w:t>
      </w:r>
    </w:p>
    <w:p>
      <w:pPr>
        <w:pStyle w:val="14"/>
        <w:spacing w:line="295" w:lineRule="exact"/>
        <w:ind w:firstLine="420"/>
        <w:jc w:val="both"/>
        <w:rPr>
          <w:color w:val="auto"/>
        </w:rPr>
      </w:pPr>
      <w:r>
        <w:rPr>
          <w:color w:val="auto"/>
        </w:rPr>
        <w:t>（一）具体负责学校勤工助学活动的日常管理。在学校勤工助学管理委员会与学校资助管理机构的指导下，积极筹措经费，切实执行勤工助学活动实施方案，并负责劳务报酬的审核、发放和管理工作；</w:t>
      </w:r>
    </w:p>
    <w:p>
      <w:pPr>
        <w:pStyle w:val="14"/>
        <w:spacing w:line="295" w:lineRule="exact"/>
        <w:ind w:firstLine="420"/>
        <w:jc w:val="both"/>
        <w:rPr>
          <w:color w:val="auto"/>
        </w:rPr>
      </w:pPr>
      <w:r>
        <w:rPr>
          <w:color w:val="auto"/>
        </w:rPr>
        <w:t>（二）与各用工单位及时沟通，确定校内勤工助学岗位，引导和组织学生积极参加勤工助学活动，指导和监督学生的勤工助学活动；</w:t>
      </w:r>
    </w:p>
    <w:p>
      <w:pPr>
        <w:pStyle w:val="14"/>
        <w:spacing w:line="295" w:lineRule="exact"/>
        <w:ind w:firstLine="420"/>
        <w:jc w:val="both"/>
        <w:rPr>
          <w:rFonts w:eastAsia="PMingLiU"/>
          <w:color w:val="auto"/>
        </w:rPr>
      </w:pPr>
      <w:r>
        <w:rPr>
          <w:color w:val="auto"/>
        </w:rPr>
        <w:t>（三）积极收集、审核校外勤工助学信息，开拓校外勤工助学渠道，建立勤工助学基地，加强对从事校外勤工助学学生的管理</w:t>
      </w:r>
      <w:r>
        <w:rPr>
          <w:rFonts w:hint="eastAsia"/>
          <w:color w:val="auto"/>
        </w:rPr>
        <w:t>；</w:t>
      </w:r>
    </w:p>
    <w:p>
      <w:pPr>
        <w:pStyle w:val="14"/>
        <w:spacing w:line="295" w:lineRule="exact"/>
        <w:ind w:firstLine="420"/>
        <w:jc w:val="both"/>
        <w:rPr>
          <w:color w:val="auto"/>
        </w:rPr>
      </w:pPr>
      <w:r>
        <w:rPr>
          <w:color w:val="auto"/>
        </w:rPr>
        <w:t>（四）接受学生参加勤工助学活动的申请，建立勤工助学学生备选人才库</w:t>
      </w:r>
      <w:r>
        <w:rPr>
          <w:rFonts w:hint="eastAsia"/>
          <w:color w:val="auto"/>
        </w:rPr>
        <w:t>；</w:t>
      </w:r>
      <w:r>
        <w:rPr>
          <w:color w:val="auto"/>
        </w:rPr>
        <w:t>审核学生参加勤工助学资格，办理学生勤工助学手续</w:t>
      </w:r>
      <w:r>
        <w:rPr>
          <w:rFonts w:hint="eastAsia"/>
          <w:color w:val="auto"/>
        </w:rPr>
        <w:t>；</w:t>
      </w:r>
      <w:r>
        <w:rPr>
          <w:color w:val="auto"/>
        </w:rPr>
        <w:t>协助组织勤工助学岗位招募，协助用工单位选拔学生</w:t>
      </w:r>
      <w:r>
        <w:rPr>
          <w:rFonts w:hint="eastAsia"/>
          <w:color w:val="auto"/>
        </w:rPr>
        <w:t>；</w:t>
      </w:r>
      <w:r>
        <w:rPr>
          <w:color w:val="auto"/>
        </w:rPr>
        <w:t>协助安排学生勤工助学岗位，为学生和用工单位提供及时高效的服务</w:t>
      </w:r>
      <w:r>
        <w:rPr>
          <w:rFonts w:hint="eastAsia"/>
          <w:color w:val="auto"/>
        </w:rPr>
        <w:t>；</w:t>
      </w:r>
    </w:p>
    <w:p>
      <w:pPr>
        <w:pStyle w:val="14"/>
        <w:spacing w:line="301" w:lineRule="exact"/>
        <w:ind w:firstLine="420"/>
        <w:jc w:val="both"/>
        <w:rPr>
          <w:color w:val="auto"/>
        </w:rPr>
      </w:pPr>
      <w:r>
        <w:rPr>
          <w:color w:val="auto"/>
        </w:rPr>
        <w:t>（五）组织学生参加必要的勤工助学岗前培训和安全教育，协助学生与用工单位签订用工协议，维护学生和用工单位在勤工助学活动中的合法权益</w:t>
      </w:r>
      <w:r>
        <w:rPr>
          <w:rFonts w:hint="eastAsia"/>
          <w:color w:val="auto"/>
        </w:rPr>
        <w:t>；</w:t>
      </w:r>
    </w:p>
    <w:p>
      <w:pPr>
        <w:pStyle w:val="14"/>
        <w:spacing w:line="301" w:lineRule="exact"/>
        <w:ind w:firstLine="420"/>
        <w:jc w:val="both"/>
        <w:rPr>
          <w:color w:val="auto"/>
        </w:rPr>
      </w:pPr>
      <w:r>
        <w:rPr>
          <w:color w:val="auto"/>
        </w:rPr>
        <w:t>（六）加强学生勤工助学活动中工作性质的审核工作，教育学生不参加危险的生产作业以及超过学生身体承受能力、有碍学生健康的劳动。</w:t>
      </w:r>
    </w:p>
    <w:p>
      <w:pPr>
        <w:pStyle w:val="14"/>
        <w:spacing w:line="301" w:lineRule="exact"/>
        <w:ind w:firstLine="420"/>
        <w:jc w:val="both"/>
        <w:rPr>
          <w:color w:val="auto"/>
        </w:rPr>
      </w:pPr>
      <w:r>
        <w:rPr>
          <w:b/>
          <w:bCs/>
          <w:color w:val="auto"/>
        </w:rPr>
        <w:t>第十二条</w:t>
      </w:r>
      <w:r>
        <w:rPr>
          <w:color w:val="auto"/>
        </w:rPr>
        <w:t>校内用工单位职责</w:t>
      </w:r>
    </w:p>
    <w:p>
      <w:pPr>
        <w:pStyle w:val="14"/>
        <w:spacing w:line="301" w:lineRule="exact"/>
        <w:ind w:firstLine="420"/>
        <w:jc w:val="both"/>
        <w:rPr>
          <w:rFonts w:eastAsia="PMingLiU"/>
          <w:color w:val="auto"/>
        </w:rPr>
      </w:pPr>
      <w:r>
        <w:rPr>
          <w:color w:val="auto"/>
        </w:rPr>
        <w:t>（一）坚持</w:t>
      </w:r>
      <w:r>
        <w:rPr>
          <w:color w:val="auto"/>
          <w:lang w:val="zh-CN" w:eastAsia="zh-CN" w:bidi="zh-CN"/>
        </w:rPr>
        <w:t>“谁</w:t>
      </w:r>
      <w:r>
        <w:rPr>
          <w:color w:val="auto"/>
        </w:rPr>
        <w:t>用工、谁管理、谁负责</w:t>
      </w:r>
      <w:r>
        <w:rPr>
          <w:color w:val="auto"/>
          <w:lang w:val="zh-CN" w:eastAsia="zh-CN" w:bidi="zh-CN"/>
        </w:rPr>
        <w:t>”</w:t>
      </w:r>
      <w:r>
        <w:rPr>
          <w:color w:val="auto"/>
        </w:rPr>
        <w:t>的原则，对于参加本部门勤工助学活动的学生进行教育管理</w:t>
      </w:r>
      <w:r>
        <w:rPr>
          <w:rFonts w:hint="eastAsia"/>
          <w:color w:val="auto"/>
        </w:rPr>
        <w:t>；</w:t>
      </w:r>
    </w:p>
    <w:p>
      <w:pPr>
        <w:pStyle w:val="14"/>
        <w:spacing w:line="301" w:lineRule="exact"/>
        <w:ind w:firstLine="420"/>
        <w:jc w:val="both"/>
        <w:rPr>
          <w:color w:val="auto"/>
        </w:rPr>
      </w:pPr>
      <w:r>
        <w:rPr>
          <w:color w:val="auto"/>
        </w:rPr>
        <w:t>（二）根据本部门的具体情况，合理设置勤工助学岗位，明确岗位性质、工作内容与工作要求；</w:t>
      </w:r>
    </w:p>
    <w:p>
      <w:pPr>
        <w:pStyle w:val="14"/>
        <w:spacing w:line="301" w:lineRule="exact"/>
        <w:ind w:firstLine="420"/>
        <w:jc w:val="both"/>
        <w:rPr>
          <w:rFonts w:eastAsia="PMingLiU"/>
          <w:color w:val="auto"/>
        </w:rPr>
      </w:pPr>
      <w:r>
        <w:rPr>
          <w:color w:val="auto"/>
        </w:rPr>
        <w:t>（三）根据本部门的实际工作情况，如实填写《南航金城学院学生校内勤工助学岗位需求表》</w:t>
      </w:r>
      <w:r>
        <w:rPr>
          <w:rFonts w:hint="eastAsia"/>
          <w:color w:val="auto"/>
        </w:rPr>
        <w:t>；</w:t>
      </w:r>
    </w:p>
    <w:p>
      <w:pPr>
        <w:pStyle w:val="14"/>
        <w:spacing w:line="301" w:lineRule="exact"/>
        <w:ind w:firstLine="420"/>
        <w:jc w:val="both"/>
        <w:rPr>
          <w:rFonts w:eastAsia="PMingLiU"/>
          <w:color w:val="auto"/>
        </w:rPr>
      </w:pPr>
      <w:r>
        <w:rPr>
          <w:color w:val="auto"/>
        </w:rPr>
        <w:t>（四）合理安排勤工助学学生的工作量，督促学生及时完成工作任务，严格控制工作时间</w:t>
      </w:r>
      <w:r>
        <w:rPr>
          <w:rFonts w:hint="eastAsia"/>
          <w:color w:val="auto"/>
        </w:rPr>
        <w:t>；</w:t>
      </w:r>
    </w:p>
    <w:p>
      <w:pPr>
        <w:pStyle w:val="14"/>
        <w:spacing w:line="301" w:lineRule="exact"/>
        <w:ind w:firstLine="420"/>
        <w:jc w:val="both"/>
        <w:rPr>
          <w:rFonts w:eastAsia="PMingLiU"/>
          <w:color w:val="auto"/>
        </w:rPr>
      </w:pPr>
      <w:r>
        <w:rPr>
          <w:color w:val="auto"/>
        </w:rPr>
        <w:t>（五）做好勤工助学学生的考勤与考核工作，每月</w:t>
      </w:r>
      <w:r>
        <w:rPr>
          <w:rFonts w:ascii="Times New Roman" w:hAnsi="Times New Roman" w:eastAsia="Times New Roman" w:cs="Times New Roman"/>
          <w:color w:val="auto"/>
          <w:sz w:val="20"/>
          <w:szCs w:val="20"/>
        </w:rPr>
        <w:t>5</w:t>
      </w:r>
      <w:r>
        <w:rPr>
          <w:color w:val="auto"/>
        </w:rPr>
        <w:t>日前认真填写本单位上月份的《南航金城学院学生勤工助学报酬支付审核表》（打印并盖章），并及时上报校学生资助管理中心，作为发放勤工助学学生工资的唯一依据</w:t>
      </w:r>
      <w:r>
        <w:rPr>
          <w:rFonts w:hint="eastAsia"/>
          <w:color w:val="auto"/>
        </w:rPr>
        <w:t>；</w:t>
      </w:r>
    </w:p>
    <w:p>
      <w:pPr>
        <w:pStyle w:val="14"/>
        <w:spacing w:line="301" w:lineRule="exact"/>
        <w:ind w:firstLine="420"/>
        <w:jc w:val="both"/>
        <w:rPr>
          <w:color w:val="auto"/>
        </w:rPr>
      </w:pPr>
      <w:r>
        <w:rPr>
          <w:color w:val="auto"/>
        </w:rPr>
        <w:t>（六）必须对参加勤工助学的学生提供必要的劳动保护和业务培训，尊重学生的劳动，保证学生的安全</w:t>
      </w:r>
      <w:r>
        <w:rPr>
          <w:rFonts w:hint="eastAsia"/>
          <w:color w:val="auto"/>
        </w:rPr>
        <w:t>；</w:t>
      </w:r>
      <w:r>
        <w:rPr>
          <w:color w:val="auto"/>
        </w:rPr>
        <w:t>有义务在学生工作期间对学生进行培养、教育与管理；</w:t>
      </w:r>
    </w:p>
    <w:p>
      <w:pPr>
        <w:pStyle w:val="14"/>
        <w:spacing w:line="301" w:lineRule="exact"/>
        <w:ind w:firstLine="420"/>
        <w:jc w:val="both"/>
        <w:rPr>
          <w:color w:val="auto"/>
        </w:rPr>
      </w:pPr>
      <w:r>
        <w:rPr>
          <w:color w:val="auto"/>
        </w:rPr>
        <w:t>（七）对不符合岗位要求，不能及时完成工作、工作态度消极的学生等，及时向校学生资助管理中心反映、备案。</w:t>
      </w:r>
    </w:p>
    <w:p>
      <w:pPr>
        <w:pStyle w:val="14"/>
        <w:spacing w:line="301" w:lineRule="exact"/>
        <w:ind w:firstLine="420"/>
        <w:jc w:val="both"/>
        <w:rPr>
          <w:color w:val="auto"/>
        </w:rPr>
      </w:pPr>
      <w:r>
        <w:rPr>
          <w:b/>
          <w:bCs/>
          <w:color w:val="auto"/>
        </w:rPr>
        <w:t>第十三条</w:t>
      </w:r>
      <w:r>
        <w:rPr>
          <w:color w:val="auto"/>
        </w:rPr>
        <w:t>学院学生工作人员职责</w:t>
      </w:r>
    </w:p>
    <w:p>
      <w:pPr>
        <w:pStyle w:val="14"/>
        <w:spacing w:line="301" w:lineRule="exact"/>
        <w:ind w:firstLine="420"/>
        <w:jc w:val="both"/>
        <w:rPr>
          <w:color w:val="auto"/>
        </w:rPr>
      </w:pPr>
      <w:r>
        <w:rPr>
          <w:color w:val="auto"/>
        </w:rPr>
        <w:t>（一）把握参加勤工助学学生的基本情况，定期审核学生学习情况，督促学生按时完成学业计划，推荐学有余力的学生参加勤工助学活动；</w:t>
      </w:r>
    </w:p>
    <w:p>
      <w:pPr>
        <w:pStyle w:val="14"/>
        <w:spacing w:line="298" w:lineRule="exact"/>
        <w:ind w:firstLine="420"/>
        <w:jc w:val="both"/>
        <w:rPr>
          <w:color w:val="auto"/>
        </w:rPr>
      </w:pPr>
      <w:r>
        <w:rPr>
          <w:color w:val="auto"/>
        </w:rPr>
        <w:t>（二）教育学生尊师重教，诚实守信，爱岗敬业，圆满完成工作任务；</w:t>
      </w:r>
    </w:p>
    <w:p>
      <w:pPr>
        <w:pStyle w:val="14"/>
        <w:spacing w:line="298" w:lineRule="exact"/>
        <w:ind w:firstLine="420"/>
        <w:jc w:val="both"/>
        <w:rPr>
          <w:color w:val="auto"/>
        </w:rPr>
      </w:pPr>
      <w:r>
        <w:rPr>
          <w:color w:val="auto"/>
        </w:rPr>
        <w:t>（三）教育学生参加勤工助学活动时注意自身安全，不参与有损大学生形象与学校形象、有碍社会公德、不利于身心健康的活动。</w:t>
      </w:r>
    </w:p>
    <w:p>
      <w:pPr>
        <w:pStyle w:val="14"/>
        <w:spacing w:line="298" w:lineRule="exact"/>
        <w:ind w:firstLine="420"/>
        <w:jc w:val="both"/>
        <w:rPr>
          <w:color w:val="auto"/>
        </w:rPr>
      </w:pPr>
      <w:r>
        <w:rPr>
          <w:b/>
          <w:bCs/>
          <w:color w:val="auto"/>
        </w:rPr>
        <w:t>第十四条</w:t>
      </w:r>
      <w:r>
        <w:rPr>
          <w:color w:val="auto"/>
        </w:rPr>
        <w:t>勤工助学学生职责</w:t>
      </w:r>
    </w:p>
    <w:p>
      <w:pPr>
        <w:pStyle w:val="14"/>
        <w:spacing w:line="298" w:lineRule="exact"/>
        <w:ind w:firstLine="420"/>
        <w:jc w:val="both"/>
        <w:rPr>
          <w:rFonts w:eastAsia="PMingLiU"/>
          <w:color w:val="auto"/>
        </w:rPr>
      </w:pPr>
      <w:r>
        <w:rPr>
          <w:color w:val="auto"/>
        </w:rPr>
        <w:t>（</w:t>
      </w:r>
      <w:r>
        <w:rPr>
          <w:rFonts w:hint="eastAsia"/>
          <w:color w:val="auto"/>
        </w:rPr>
        <w:t>一</w:t>
      </w:r>
      <w:r>
        <w:rPr>
          <w:color w:val="auto"/>
        </w:rPr>
        <w:t>）积极主动参加勤工助学活动的岗前培训工作</w:t>
      </w:r>
      <w:r>
        <w:rPr>
          <w:rFonts w:hint="eastAsia"/>
          <w:color w:val="auto"/>
        </w:rPr>
        <w:t>；</w:t>
      </w:r>
    </w:p>
    <w:p>
      <w:pPr>
        <w:pStyle w:val="14"/>
        <w:spacing w:line="298" w:lineRule="exact"/>
        <w:ind w:firstLine="420"/>
        <w:jc w:val="both"/>
        <w:rPr>
          <w:rFonts w:eastAsia="PMingLiU"/>
          <w:color w:val="auto"/>
        </w:rPr>
      </w:pPr>
      <w:r>
        <w:rPr>
          <w:color w:val="auto"/>
        </w:rPr>
        <w:t>（二）遵守用工单位的工作纪律，文明礼貌，积极主动地完成工作</w:t>
      </w:r>
      <w:r>
        <w:rPr>
          <w:rFonts w:hint="eastAsia"/>
          <w:color w:val="auto"/>
        </w:rPr>
        <w:t>；</w:t>
      </w:r>
    </w:p>
    <w:p>
      <w:pPr>
        <w:pStyle w:val="14"/>
        <w:spacing w:line="298" w:lineRule="exact"/>
        <w:ind w:firstLine="420"/>
        <w:jc w:val="both"/>
        <w:rPr>
          <w:color w:val="auto"/>
        </w:rPr>
      </w:pPr>
      <w:r>
        <w:rPr>
          <w:color w:val="auto"/>
        </w:rPr>
        <w:t>（三</w:t>
      </w:r>
      <w:r>
        <w:rPr>
          <w:rFonts w:hint="eastAsia"/>
          <w:color w:val="auto"/>
        </w:rPr>
        <w:t>）</w:t>
      </w:r>
      <w:r>
        <w:rPr>
          <w:color w:val="auto"/>
        </w:rPr>
        <w:t>坚持以学业为重，合理安排参加勤工助学的时间；</w:t>
      </w:r>
    </w:p>
    <w:p>
      <w:pPr>
        <w:pStyle w:val="14"/>
        <w:spacing w:line="298" w:lineRule="exact"/>
        <w:ind w:firstLine="420"/>
        <w:jc w:val="both"/>
        <w:rPr>
          <w:rFonts w:eastAsia="PMingLiU"/>
          <w:color w:val="auto"/>
        </w:rPr>
      </w:pPr>
      <w:r>
        <w:rPr>
          <w:color w:val="auto"/>
        </w:rPr>
        <w:t>（四）服从统一管理与指导，工作中的疑问及时与用工单位和校学生资助管理中心反映，任何情况下不得与用工单位发生争执</w:t>
      </w:r>
      <w:r>
        <w:rPr>
          <w:rFonts w:hint="eastAsia"/>
          <w:color w:val="auto"/>
        </w:rPr>
        <w:t>；</w:t>
      </w:r>
    </w:p>
    <w:p>
      <w:pPr>
        <w:pStyle w:val="14"/>
        <w:spacing w:line="298" w:lineRule="exact"/>
        <w:ind w:firstLine="420"/>
        <w:jc w:val="both"/>
        <w:rPr>
          <w:color w:val="auto"/>
        </w:rPr>
      </w:pPr>
      <w:r>
        <w:rPr>
          <w:color w:val="auto"/>
        </w:rPr>
        <w:t>（五）参加校外勤工助学活动必须遵守国家法律、法规，认真履行有关协议的各项义务，不得参与有损大学生形象与学院形象、有碍社会公德、不利于身心健康的活动；</w:t>
      </w:r>
    </w:p>
    <w:p>
      <w:pPr>
        <w:pStyle w:val="14"/>
        <w:spacing w:after="380" w:line="298" w:lineRule="exact"/>
        <w:ind w:firstLine="420"/>
        <w:jc w:val="both"/>
        <w:rPr>
          <w:color w:val="auto"/>
        </w:rPr>
      </w:pPr>
      <w:r>
        <w:rPr>
          <w:color w:val="auto"/>
        </w:rPr>
        <w:t>（六）遵守校学生资助管理中心及所在部门的有关规章制度。</w:t>
      </w:r>
    </w:p>
    <w:p>
      <w:pPr>
        <w:pStyle w:val="18"/>
        <w:keepNext/>
        <w:keepLines/>
        <w:rPr>
          <w:b/>
          <w:bCs/>
          <w:color w:val="auto"/>
        </w:rPr>
      </w:pPr>
      <w:bookmarkStart w:id="510" w:name="bookmark905"/>
      <w:bookmarkStart w:id="511" w:name="bookmark903"/>
      <w:bookmarkStart w:id="512" w:name="bookmark904"/>
      <w:r>
        <w:rPr>
          <w:b/>
          <w:bCs/>
          <w:color w:val="auto"/>
        </w:rPr>
        <w:t>第四章校内勤工助学岗位设置与经费管理</w:t>
      </w:r>
      <w:bookmarkEnd w:id="510"/>
      <w:bookmarkEnd w:id="511"/>
      <w:bookmarkEnd w:id="512"/>
    </w:p>
    <w:p>
      <w:pPr>
        <w:pStyle w:val="14"/>
        <w:spacing w:line="302" w:lineRule="exact"/>
        <w:ind w:firstLine="420"/>
        <w:jc w:val="both"/>
        <w:rPr>
          <w:color w:val="auto"/>
        </w:rPr>
      </w:pPr>
      <w:r>
        <w:rPr>
          <w:b/>
          <w:bCs/>
          <w:color w:val="auto"/>
        </w:rPr>
        <w:t>第十五条</w:t>
      </w:r>
      <w:r>
        <w:rPr>
          <w:color w:val="auto"/>
        </w:rPr>
        <w:t>校内勤工助学岗位的设岗原则是以工时定岗；设置岗位的数量既要满足学生的工时需求，又要保证学生不因参加勤工助学活动而影响学习。</w:t>
      </w:r>
    </w:p>
    <w:p>
      <w:pPr>
        <w:pStyle w:val="14"/>
        <w:spacing w:line="302" w:lineRule="exact"/>
        <w:ind w:firstLine="420"/>
        <w:jc w:val="both"/>
        <w:rPr>
          <w:rFonts w:eastAsia="PMingLiU"/>
          <w:color w:val="auto"/>
        </w:rPr>
      </w:pPr>
      <w:r>
        <w:rPr>
          <w:b/>
          <w:bCs/>
          <w:color w:val="auto"/>
        </w:rPr>
        <w:t>第十六条</w:t>
      </w:r>
      <w:r>
        <w:rPr>
          <w:color w:val="auto"/>
        </w:rPr>
        <w:t>校内勤工助学岗位原则上提供给我校家庭经济困难学生</w:t>
      </w:r>
      <w:r>
        <w:rPr>
          <w:rFonts w:hint="eastAsia"/>
          <w:color w:val="auto"/>
        </w:rPr>
        <w:t>。</w:t>
      </w:r>
    </w:p>
    <w:p>
      <w:pPr>
        <w:pStyle w:val="14"/>
        <w:spacing w:line="302" w:lineRule="exact"/>
        <w:ind w:firstLine="420"/>
        <w:jc w:val="both"/>
        <w:rPr>
          <w:rFonts w:eastAsia="PMingLiU"/>
          <w:color w:val="auto"/>
        </w:rPr>
      </w:pPr>
      <w:r>
        <w:rPr>
          <w:b/>
          <w:bCs/>
          <w:color w:val="auto"/>
        </w:rPr>
        <w:t>第十七条</w:t>
      </w:r>
      <w:r>
        <w:rPr>
          <w:color w:val="auto"/>
        </w:rPr>
        <w:t>校内勤工助学的主要内容包括：学校管理、教学、科研、产业等辅助工作，后勤服务工作，校园秩序维护工作以及公益性的有偿服务活动</w:t>
      </w:r>
      <w:r>
        <w:rPr>
          <w:rFonts w:hint="eastAsia"/>
          <w:color w:val="auto"/>
        </w:rPr>
        <w:t>。</w:t>
      </w:r>
    </w:p>
    <w:p>
      <w:pPr>
        <w:pStyle w:val="14"/>
        <w:spacing w:line="302" w:lineRule="exact"/>
        <w:ind w:firstLine="420"/>
        <w:jc w:val="both"/>
        <w:rPr>
          <w:color w:val="auto"/>
        </w:rPr>
      </w:pPr>
      <w:r>
        <w:rPr>
          <w:b/>
          <w:bCs/>
          <w:color w:val="auto"/>
        </w:rPr>
        <w:t>第十八条</w:t>
      </w:r>
      <w:r>
        <w:rPr>
          <w:color w:val="auto"/>
        </w:rPr>
        <w:t>结合我校校园职场训练营建设，根据训练岗的薪酬性质把训练岗分为助学岗和义工岗。</w:t>
      </w:r>
    </w:p>
    <w:p>
      <w:pPr>
        <w:pStyle w:val="14"/>
        <w:spacing w:line="302" w:lineRule="exact"/>
        <w:ind w:firstLine="420"/>
        <w:jc w:val="both"/>
        <w:rPr>
          <w:color w:val="auto"/>
        </w:rPr>
      </w:pPr>
      <w:r>
        <w:rPr>
          <w:color w:val="auto"/>
        </w:rPr>
        <w:t>（一）助学岗原则上只录用经学校认定的家庭经济困难学生，根据岗位设置期限分为一级岗、二级岗。学校统一以银行卡的形式发放补贴，经考核合格者发放校园职场训练营合格证书。</w:t>
      </w:r>
    </w:p>
    <w:p>
      <w:pPr>
        <w:pStyle w:val="14"/>
        <w:spacing w:line="302" w:lineRule="exact"/>
        <w:ind w:firstLine="420"/>
        <w:jc w:val="both"/>
        <w:rPr>
          <w:color w:val="auto"/>
        </w:rPr>
      </w:pPr>
      <w:r>
        <w:rPr>
          <w:color w:val="auto"/>
        </w:rPr>
        <w:t>一级岗是指学校行政部门及二级学院等部门的重要岗位，一般为持续一个学年的长期性、连续性岗位，补贴标准：</w:t>
      </w:r>
      <w:r>
        <w:rPr>
          <w:rFonts w:ascii="Times New Roman" w:hAnsi="Times New Roman" w:eastAsia="Times New Roman" w:cs="Times New Roman"/>
          <w:color w:val="auto"/>
          <w:sz w:val="20"/>
          <w:szCs w:val="20"/>
        </w:rPr>
        <w:t>1200</w:t>
      </w:r>
      <w:r>
        <w:rPr>
          <w:color w:val="auto"/>
        </w:rPr>
        <w:t>元/月/人。</w:t>
      </w:r>
    </w:p>
    <w:p>
      <w:pPr>
        <w:pStyle w:val="14"/>
        <w:spacing w:line="302" w:lineRule="exact"/>
        <w:ind w:firstLine="420"/>
        <w:jc w:val="both"/>
        <w:rPr>
          <w:color w:val="auto"/>
        </w:rPr>
      </w:pPr>
      <w:r>
        <w:rPr>
          <w:color w:val="auto"/>
        </w:rPr>
        <w:t>二级岗是除一级岗位之外的持续一个学期以上的固定岗位，每月工作时间不少于</w:t>
      </w:r>
      <w:r>
        <w:rPr>
          <w:rFonts w:ascii="Times New Roman" w:hAnsi="Times New Roman" w:eastAsia="Times New Roman" w:cs="Times New Roman"/>
          <w:color w:val="auto"/>
          <w:sz w:val="20"/>
          <w:szCs w:val="20"/>
        </w:rPr>
        <w:t>40</w:t>
      </w:r>
      <w:r>
        <w:rPr>
          <w:color w:val="auto"/>
        </w:rPr>
        <w:t>小时，补贴标准:</w:t>
      </w:r>
      <w:r>
        <w:rPr>
          <w:rFonts w:ascii="Times New Roman" w:hAnsi="Times New Roman" w:eastAsia="Times New Roman" w:cs="Times New Roman"/>
          <w:color w:val="auto"/>
          <w:sz w:val="20"/>
          <w:szCs w:val="20"/>
        </w:rPr>
        <w:t>400</w:t>
      </w:r>
      <w:r>
        <w:rPr>
          <w:color w:val="auto"/>
        </w:rPr>
        <w:t>元/月/人。如学生每月工作时间未满</w:t>
      </w:r>
      <w:r>
        <w:rPr>
          <w:rFonts w:ascii="Times New Roman" w:hAnsi="Times New Roman" w:eastAsia="Times New Roman" w:cs="Times New Roman"/>
          <w:color w:val="auto"/>
          <w:sz w:val="20"/>
          <w:szCs w:val="20"/>
        </w:rPr>
        <w:t>40</w:t>
      </w:r>
      <w:r>
        <w:rPr>
          <w:color w:val="auto"/>
        </w:rPr>
        <w:t>小时，按照实际工作量乘</w:t>
      </w:r>
      <w:r>
        <w:rPr>
          <w:rFonts w:hint="eastAsia"/>
          <w:color w:val="auto"/>
        </w:rPr>
        <w:t>以</w:t>
      </w:r>
      <w:r>
        <w:rPr>
          <w:rFonts w:ascii="Times New Roman" w:hAnsi="Times New Roman" w:eastAsia="Times New Roman" w:cs="Times New Roman"/>
          <w:color w:val="auto"/>
          <w:sz w:val="20"/>
          <w:szCs w:val="20"/>
        </w:rPr>
        <w:t>10</w:t>
      </w:r>
      <w:r>
        <w:rPr>
          <w:color w:val="auto"/>
        </w:rPr>
        <w:t>元/小时计算，每人每月补贴不超过</w:t>
      </w:r>
      <w:r>
        <w:rPr>
          <w:rFonts w:ascii="Times New Roman" w:hAnsi="Times New Roman" w:eastAsia="Times New Roman" w:cs="Times New Roman"/>
          <w:color w:val="auto"/>
          <w:sz w:val="20"/>
          <w:szCs w:val="20"/>
        </w:rPr>
        <w:t>400</w:t>
      </w:r>
      <w:r>
        <w:rPr>
          <w:color w:val="auto"/>
        </w:rPr>
        <w:t>元。优先聘用经学校认定的家庭经济困难学生。</w:t>
      </w:r>
    </w:p>
    <w:p>
      <w:pPr>
        <w:pStyle w:val="14"/>
        <w:spacing w:line="302" w:lineRule="exact"/>
        <w:ind w:firstLine="420"/>
        <w:jc w:val="both"/>
        <w:rPr>
          <w:color w:val="auto"/>
        </w:rPr>
      </w:pPr>
      <w:r>
        <w:rPr>
          <w:color w:val="auto"/>
        </w:rPr>
        <w:t>（二）义工岗是指学生无偿参与训练营活动，旨在为广大学生提供实践锻炼的平台。学校为考核合格者发校园职场训练营合格证书，而不发勤工助学补贴。</w:t>
      </w:r>
    </w:p>
    <w:p>
      <w:pPr>
        <w:pStyle w:val="14"/>
        <w:spacing w:line="302" w:lineRule="exact"/>
        <w:ind w:firstLine="420"/>
        <w:jc w:val="both"/>
        <w:rPr>
          <w:color w:val="auto"/>
        </w:rPr>
      </w:pPr>
      <w:r>
        <w:rPr>
          <w:b/>
          <w:bCs/>
          <w:color w:val="auto"/>
        </w:rPr>
        <w:t>第十九条</w:t>
      </w:r>
      <w:r>
        <w:rPr>
          <w:color w:val="auto"/>
        </w:rPr>
        <w:t>设立南京航空航天大学金城学院勤工助学专项经费，其目的是使学生勤工助学活动具有稳定、可靠的经费来源，学生资助管理中心负责勤工助学经费的使用与管理。</w:t>
      </w:r>
    </w:p>
    <w:p>
      <w:pPr>
        <w:pStyle w:val="14"/>
        <w:spacing w:line="302" w:lineRule="exact"/>
        <w:ind w:firstLine="420"/>
        <w:jc w:val="both"/>
        <w:rPr>
          <w:color w:val="auto"/>
        </w:rPr>
      </w:pPr>
      <w:r>
        <w:rPr>
          <w:b/>
          <w:bCs/>
          <w:color w:val="auto"/>
        </w:rPr>
        <w:t>第二十条</w:t>
      </w:r>
      <w:r>
        <w:rPr>
          <w:color w:val="auto"/>
        </w:rPr>
        <w:t>校内勤工助学经费来源：</w:t>
      </w:r>
    </w:p>
    <w:p>
      <w:pPr>
        <w:pStyle w:val="14"/>
        <w:spacing w:line="302" w:lineRule="exact"/>
        <w:ind w:firstLine="420"/>
        <w:jc w:val="both"/>
        <w:rPr>
          <w:color w:val="auto"/>
        </w:rPr>
      </w:pPr>
      <w:r>
        <w:rPr>
          <w:color w:val="auto"/>
        </w:rPr>
        <w:t>（一）按学校预算下拨的专项经费；</w:t>
      </w:r>
    </w:p>
    <w:p>
      <w:pPr>
        <w:pStyle w:val="14"/>
        <w:spacing w:line="302" w:lineRule="exact"/>
        <w:ind w:firstLine="420"/>
        <w:jc w:val="both"/>
        <w:rPr>
          <w:color w:val="auto"/>
        </w:rPr>
      </w:pPr>
      <w:r>
        <w:rPr>
          <w:color w:val="auto"/>
        </w:rPr>
        <w:t>（二）社会赞助的各项费用；</w:t>
      </w:r>
    </w:p>
    <w:p>
      <w:pPr>
        <w:pStyle w:val="14"/>
        <w:spacing w:line="302" w:lineRule="exact"/>
        <w:ind w:firstLine="420"/>
        <w:jc w:val="both"/>
        <w:rPr>
          <w:color w:val="auto"/>
        </w:rPr>
      </w:pPr>
      <w:r>
        <w:rPr>
          <w:color w:val="auto"/>
        </w:rPr>
        <w:t>（三）勤工助学自身开辟岗位所得的费用。</w:t>
      </w:r>
    </w:p>
    <w:p>
      <w:pPr>
        <w:pStyle w:val="14"/>
        <w:spacing w:line="259" w:lineRule="exact"/>
        <w:ind w:firstLine="420"/>
        <w:jc w:val="both"/>
        <w:rPr>
          <w:color w:val="auto"/>
        </w:rPr>
      </w:pPr>
      <w:r>
        <w:rPr>
          <w:b/>
          <w:bCs/>
          <w:color w:val="auto"/>
        </w:rPr>
        <w:t>第二十一条</w:t>
      </w:r>
      <w:r>
        <w:rPr>
          <w:color w:val="auto"/>
        </w:rPr>
        <w:t>校内勤工助学经费的支出</w:t>
      </w:r>
      <w:r>
        <w:rPr>
          <w:rFonts w:hint="eastAsia"/>
          <w:color w:val="auto"/>
        </w:rPr>
        <w:t>：</w:t>
      </w:r>
      <w:r>
        <w:rPr>
          <w:color w:val="auto"/>
        </w:rPr>
        <w:t>校内勤工助学经费原则上用于校内勤工助学岗位支付给学生的劳动报酬。具体范围是：</w:t>
      </w:r>
    </w:p>
    <w:p>
      <w:pPr>
        <w:pStyle w:val="14"/>
        <w:spacing w:line="301" w:lineRule="exact"/>
        <w:ind w:firstLine="420"/>
        <w:jc w:val="both"/>
        <w:rPr>
          <w:color w:val="auto"/>
        </w:rPr>
      </w:pPr>
      <w:r>
        <w:rPr>
          <w:color w:val="auto"/>
          <w:lang w:val="zh-CN" w:eastAsia="zh-CN" w:bidi="zh-CN"/>
        </w:rPr>
        <w:t>（</w:t>
      </w:r>
      <w:r>
        <w:rPr>
          <w:rFonts w:hint="eastAsia"/>
          <w:color w:val="auto"/>
          <w:lang w:val="zh-CN" w:eastAsia="zh-CN" w:bidi="zh-CN"/>
        </w:rPr>
        <w:t>一</w:t>
      </w:r>
      <w:r>
        <w:rPr>
          <w:color w:val="auto"/>
          <w:lang w:val="zh-CN" w:eastAsia="zh-CN" w:bidi="zh-CN"/>
        </w:rPr>
        <w:t>）</w:t>
      </w:r>
      <w:r>
        <w:rPr>
          <w:color w:val="auto"/>
        </w:rPr>
        <w:t>经过学校学生资助管理中心认定的校内勤工助学活动；</w:t>
      </w:r>
    </w:p>
    <w:p>
      <w:pPr>
        <w:pStyle w:val="14"/>
        <w:spacing w:line="301" w:lineRule="exact"/>
        <w:ind w:firstLine="420"/>
        <w:jc w:val="both"/>
        <w:rPr>
          <w:color w:val="auto"/>
        </w:rPr>
      </w:pPr>
      <w:r>
        <w:rPr>
          <w:color w:val="auto"/>
        </w:rPr>
        <w:t>（二）建立具有投资效益和育人效果的学生勤工助学基地的经费投入。</w:t>
      </w:r>
    </w:p>
    <w:p>
      <w:pPr>
        <w:pStyle w:val="14"/>
        <w:spacing w:line="312" w:lineRule="exact"/>
        <w:ind w:firstLine="420"/>
        <w:jc w:val="both"/>
        <w:rPr>
          <w:color w:val="auto"/>
        </w:rPr>
      </w:pPr>
      <w:r>
        <w:rPr>
          <w:b/>
          <w:bCs/>
          <w:color w:val="auto"/>
        </w:rPr>
        <w:t>第二十二条</w:t>
      </w:r>
      <w:r>
        <w:rPr>
          <w:color w:val="auto"/>
        </w:rPr>
        <w:t>校内勤工助学报酬按照岗位计算。参照第十八条。</w:t>
      </w:r>
    </w:p>
    <w:p>
      <w:pPr>
        <w:pStyle w:val="14"/>
        <w:spacing w:line="312" w:lineRule="exact"/>
        <w:ind w:firstLine="420"/>
        <w:jc w:val="both"/>
        <w:rPr>
          <w:color w:val="auto"/>
        </w:rPr>
      </w:pPr>
      <w:r>
        <w:rPr>
          <w:b/>
          <w:bCs/>
          <w:color w:val="auto"/>
        </w:rPr>
        <w:t>第二十三条</w:t>
      </w:r>
      <w:r>
        <w:rPr>
          <w:color w:val="auto"/>
        </w:rPr>
        <w:t>学生参与勤工助学活动的劳动报酬由校学生资助管理中心从勤工助学专项经费中支付。</w:t>
      </w:r>
    </w:p>
    <w:p>
      <w:pPr>
        <w:pStyle w:val="14"/>
        <w:spacing w:after="380" w:line="307" w:lineRule="exact"/>
        <w:ind w:firstLine="420"/>
        <w:jc w:val="both"/>
        <w:rPr>
          <w:color w:val="auto"/>
        </w:rPr>
      </w:pPr>
      <w:r>
        <w:rPr>
          <w:b/>
          <w:bCs/>
          <w:color w:val="auto"/>
        </w:rPr>
        <w:t>第二十四条</w:t>
      </w:r>
      <w:r>
        <w:rPr>
          <w:color w:val="auto"/>
        </w:rPr>
        <w:t>凡未按照第五章程序安排的校内勤工助学活动属于擅自用工，学校一律不支付勤工助学活动的劳务报酬。</w:t>
      </w:r>
    </w:p>
    <w:p>
      <w:pPr>
        <w:pStyle w:val="18"/>
        <w:keepNext/>
        <w:keepLines/>
        <w:spacing w:after="340"/>
        <w:rPr>
          <w:b/>
          <w:bCs/>
          <w:color w:val="auto"/>
        </w:rPr>
      </w:pPr>
      <w:bookmarkStart w:id="513" w:name="bookmark913"/>
      <w:bookmarkStart w:id="514" w:name="bookmark911"/>
      <w:bookmarkStart w:id="515" w:name="bookmark912"/>
      <w:r>
        <w:rPr>
          <w:b/>
          <w:bCs/>
          <w:color w:val="auto"/>
        </w:rPr>
        <w:t>第五章校内勤工助学的用工程序</w:t>
      </w:r>
      <w:bookmarkEnd w:id="513"/>
      <w:bookmarkEnd w:id="514"/>
      <w:bookmarkEnd w:id="515"/>
    </w:p>
    <w:p>
      <w:pPr>
        <w:pStyle w:val="14"/>
        <w:spacing w:line="301" w:lineRule="exact"/>
        <w:ind w:firstLine="420"/>
        <w:jc w:val="both"/>
        <w:rPr>
          <w:color w:val="auto"/>
        </w:rPr>
      </w:pPr>
      <w:r>
        <w:rPr>
          <w:b/>
          <w:bCs/>
          <w:color w:val="auto"/>
        </w:rPr>
        <w:t>第二十五条</w:t>
      </w:r>
      <w:r>
        <w:rPr>
          <w:color w:val="auto"/>
        </w:rPr>
        <w:t>校内固定勤工助学岗位的安排</w:t>
      </w:r>
    </w:p>
    <w:p>
      <w:pPr>
        <w:pStyle w:val="14"/>
        <w:spacing w:line="301" w:lineRule="exact"/>
        <w:ind w:firstLine="420"/>
        <w:jc w:val="both"/>
        <w:rPr>
          <w:color w:val="auto"/>
        </w:rPr>
      </w:pPr>
      <w:r>
        <w:rPr>
          <w:color w:val="auto"/>
        </w:rPr>
        <w:t>（一）每年</w:t>
      </w:r>
      <w:r>
        <w:rPr>
          <w:rFonts w:ascii="Times New Roman" w:hAnsi="Times New Roman" w:eastAsia="Times New Roman" w:cs="Times New Roman"/>
          <w:color w:val="auto"/>
          <w:sz w:val="20"/>
          <w:szCs w:val="20"/>
        </w:rPr>
        <w:t>2</w:t>
      </w:r>
      <w:r>
        <w:rPr>
          <w:color w:val="auto"/>
        </w:rPr>
        <w:t>月学校启动本学年校内勤工助学登记工作，各部门从学院网站下载《南京航空航天大学金城学院校内勤工助学用工需求表》，申报当年度用工人数与用工要求；</w:t>
      </w:r>
    </w:p>
    <w:p>
      <w:pPr>
        <w:pStyle w:val="14"/>
        <w:spacing w:line="301" w:lineRule="exact"/>
        <w:ind w:firstLine="420"/>
        <w:jc w:val="both"/>
        <w:rPr>
          <w:color w:val="auto"/>
        </w:rPr>
      </w:pPr>
      <w:r>
        <w:rPr>
          <w:color w:val="auto"/>
        </w:rPr>
        <w:t>（二）校学生资助管理中心汇总各单位的用工岗位数，报人事质量保障处审批；</w:t>
      </w:r>
    </w:p>
    <w:p>
      <w:pPr>
        <w:pStyle w:val="14"/>
        <w:spacing w:line="301" w:lineRule="exact"/>
        <w:ind w:firstLine="420"/>
        <w:jc w:val="both"/>
        <w:rPr>
          <w:rFonts w:eastAsia="PMingLiU"/>
          <w:color w:val="auto"/>
        </w:rPr>
      </w:pPr>
      <w:r>
        <w:rPr>
          <w:color w:val="auto"/>
        </w:rPr>
        <w:t>（三）各用工单位根据审批后的用工人数组织招募</w:t>
      </w:r>
      <w:r>
        <w:rPr>
          <w:rFonts w:hint="eastAsia"/>
          <w:color w:val="auto"/>
        </w:rPr>
        <w:t>，</w:t>
      </w:r>
      <w:r>
        <w:rPr>
          <w:color w:val="auto"/>
        </w:rPr>
        <w:t>校学生资助管理中心协助各单位发布用工需求信息</w:t>
      </w:r>
      <w:r>
        <w:rPr>
          <w:rFonts w:hint="eastAsia"/>
          <w:color w:val="auto"/>
        </w:rPr>
        <w:t>，</w:t>
      </w:r>
      <w:r>
        <w:rPr>
          <w:color w:val="auto"/>
        </w:rPr>
        <w:t>由各单位负责组织报名、面试、选拔后录用，校学生资助管理中心备案</w:t>
      </w:r>
      <w:r>
        <w:rPr>
          <w:rFonts w:hint="eastAsia"/>
          <w:color w:val="auto"/>
        </w:rPr>
        <w:t>；</w:t>
      </w:r>
    </w:p>
    <w:p>
      <w:pPr>
        <w:pStyle w:val="14"/>
        <w:spacing w:line="301" w:lineRule="exact"/>
        <w:ind w:firstLine="420"/>
        <w:jc w:val="both"/>
        <w:rPr>
          <w:rFonts w:eastAsia="PMingLiU"/>
          <w:color w:val="auto"/>
        </w:rPr>
      </w:pPr>
      <w:r>
        <w:rPr>
          <w:color w:val="auto"/>
        </w:rPr>
        <w:t>（四）寒暑假的勤工助学岗位安排采取用工单位与申请学生双向选择的方式集中进行，重点照顾外省籍家庭经济条件特别困难的学生</w:t>
      </w:r>
      <w:r>
        <w:rPr>
          <w:rFonts w:hint="eastAsia"/>
          <w:color w:val="auto"/>
        </w:rPr>
        <w:t>；</w:t>
      </w:r>
    </w:p>
    <w:p>
      <w:pPr>
        <w:pStyle w:val="14"/>
        <w:spacing w:line="301" w:lineRule="exact"/>
        <w:ind w:firstLine="420"/>
        <w:jc w:val="both"/>
        <w:rPr>
          <w:color w:val="auto"/>
        </w:rPr>
      </w:pPr>
      <w:r>
        <w:rPr>
          <w:color w:val="auto"/>
        </w:rPr>
        <w:t>（五）假期学生勤工助学工作安排一般安排在学期结束前的二周内进行</w:t>
      </w:r>
      <w:r>
        <w:rPr>
          <w:rFonts w:hint="eastAsia"/>
          <w:color w:val="auto"/>
        </w:rPr>
        <w:t>；</w:t>
      </w:r>
      <w:r>
        <w:rPr>
          <w:color w:val="auto"/>
        </w:rPr>
        <w:t>各假期用工需求单位在假期前填写《南京航空航天大学金城学院校内勤工助学用工需求表》，于假期前三周内向校学生资助管理中心申报，校学生资助管理中心负责协调假期勤工助学学生的选拔、推荐工作</w:t>
      </w:r>
      <w:r>
        <w:rPr>
          <w:rFonts w:hint="eastAsia"/>
          <w:color w:val="auto"/>
        </w:rPr>
        <w:t>；</w:t>
      </w:r>
      <w:r>
        <w:rPr>
          <w:color w:val="auto"/>
        </w:rPr>
        <w:t>没有按照规定申请的视为无效用工。</w:t>
      </w:r>
    </w:p>
    <w:p>
      <w:pPr>
        <w:pStyle w:val="14"/>
        <w:spacing w:line="301" w:lineRule="exact"/>
        <w:ind w:firstLine="420"/>
        <w:jc w:val="both"/>
        <w:rPr>
          <w:color w:val="auto"/>
        </w:rPr>
      </w:pPr>
      <w:r>
        <w:rPr>
          <w:b/>
          <w:bCs/>
          <w:color w:val="auto"/>
        </w:rPr>
        <w:t>第二十六条</w:t>
      </w:r>
      <w:r>
        <w:rPr>
          <w:color w:val="auto"/>
        </w:rPr>
        <w:t>校内临时勤工助学岗位安排</w:t>
      </w:r>
    </w:p>
    <w:p>
      <w:pPr>
        <w:pStyle w:val="14"/>
        <w:spacing w:line="301" w:lineRule="exact"/>
        <w:ind w:firstLine="420"/>
        <w:jc w:val="both"/>
        <w:rPr>
          <w:color w:val="auto"/>
        </w:rPr>
      </w:pPr>
      <w:r>
        <w:rPr>
          <w:color w:val="auto"/>
        </w:rPr>
        <w:t>（一）临时用工单位提前</w:t>
      </w:r>
      <w:r>
        <w:rPr>
          <w:rFonts w:ascii="Times New Roman" w:hAnsi="Times New Roman" w:eastAsia="Times New Roman" w:cs="Times New Roman"/>
          <w:color w:val="auto"/>
          <w:sz w:val="20"/>
          <w:szCs w:val="20"/>
        </w:rPr>
        <w:t>5</w:t>
      </w:r>
      <w:r>
        <w:rPr>
          <w:color w:val="auto"/>
        </w:rPr>
        <w:t>个工作日填写《南京航空航天大学金城学院校内勤工助学用工需求表》，向校学生资助管理中心提出用工需求申请；</w:t>
      </w:r>
    </w:p>
    <w:p>
      <w:pPr>
        <w:pStyle w:val="14"/>
        <w:spacing w:after="340" w:line="301" w:lineRule="exact"/>
        <w:ind w:firstLine="420"/>
        <w:jc w:val="both"/>
        <w:rPr>
          <w:color w:val="auto"/>
        </w:rPr>
      </w:pPr>
      <w:r>
        <w:rPr>
          <w:color w:val="auto"/>
        </w:rPr>
        <w:t>（二）各用工单位根据用工情况提供招募信息，校学生资助管理中心协助各单位发布用工需求信息，由各单位负责组织报名、面试、选拔后录用，校学生资助管理中心备案。</w:t>
      </w:r>
    </w:p>
    <w:p>
      <w:pPr>
        <w:pStyle w:val="18"/>
        <w:keepNext/>
        <w:keepLines/>
        <w:spacing w:after="340"/>
        <w:rPr>
          <w:b/>
          <w:bCs/>
          <w:color w:val="auto"/>
        </w:rPr>
      </w:pPr>
      <w:bookmarkStart w:id="516" w:name="bookmark922"/>
      <w:bookmarkStart w:id="517" w:name="bookmark923"/>
      <w:bookmarkStart w:id="518" w:name="bookmark921"/>
      <w:r>
        <w:rPr>
          <w:b/>
          <w:bCs/>
          <w:color w:val="auto"/>
        </w:rPr>
        <w:t>第六章校外勤工助学活动的管理</w:t>
      </w:r>
      <w:bookmarkEnd w:id="516"/>
      <w:bookmarkEnd w:id="517"/>
      <w:bookmarkEnd w:id="518"/>
    </w:p>
    <w:p>
      <w:pPr>
        <w:pStyle w:val="14"/>
        <w:spacing w:line="302" w:lineRule="exact"/>
        <w:ind w:firstLine="420"/>
        <w:jc w:val="both"/>
        <w:rPr>
          <w:color w:val="auto"/>
        </w:rPr>
      </w:pPr>
      <w:r>
        <w:rPr>
          <w:b/>
          <w:bCs/>
          <w:color w:val="auto"/>
        </w:rPr>
        <w:t>第二十七条</w:t>
      </w:r>
      <w:r>
        <w:rPr>
          <w:color w:val="auto"/>
        </w:rPr>
        <w:t>校外勤工助学活动由校学生资助管理中心统一管理，应注重于学生的学业与专业发展的有机结合。</w:t>
      </w:r>
    </w:p>
    <w:p>
      <w:pPr>
        <w:pStyle w:val="14"/>
        <w:spacing w:line="302" w:lineRule="exact"/>
        <w:ind w:firstLine="420"/>
        <w:jc w:val="both"/>
        <w:rPr>
          <w:color w:val="auto"/>
        </w:rPr>
      </w:pPr>
      <w:r>
        <w:rPr>
          <w:b/>
          <w:bCs/>
          <w:color w:val="auto"/>
        </w:rPr>
        <w:t>第二十八条</w:t>
      </w:r>
      <w:r>
        <w:rPr>
          <w:color w:val="auto"/>
        </w:rPr>
        <w:t>校外用人单位聘用学生勤工助学，须向校学生资助管理中心提出申请，提供法人资格证书副本和相关证明文件。经学校相关部门审核同意后，校学生资助管理中心协助招募或推荐适合用人单位工作要求的学生参加勤工助学活动。</w:t>
      </w:r>
    </w:p>
    <w:p>
      <w:pPr>
        <w:pStyle w:val="14"/>
        <w:spacing w:after="160" w:line="302" w:lineRule="exact"/>
        <w:ind w:firstLine="420"/>
        <w:jc w:val="both"/>
        <w:rPr>
          <w:color w:val="auto"/>
        </w:rPr>
      </w:pPr>
      <w:r>
        <w:rPr>
          <w:b/>
          <w:bCs/>
          <w:color w:val="auto"/>
        </w:rPr>
        <w:t>第二十九条</w:t>
      </w:r>
      <w:r>
        <w:rPr>
          <w:color w:val="auto"/>
        </w:rPr>
        <w:t>校外勤工助学活动必须保证学生的安全，不得组织学生参加有毒</w:t>
      </w:r>
      <w:r>
        <w:rPr>
          <w:rFonts w:hint="eastAsia"/>
          <w:color w:val="auto"/>
        </w:rPr>
        <w:t>、</w:t>
      </w:r>
      <w:r>
        <w:rPr>
          <w:color w:val="auto"/>
        </w:rPr>
        <w:t>有害、非法和危险的生产作业以及超过学生身体承受能力、有碍学生健康的劳动，用工单位需与学校签订相关学生勤工助学协议。有关法律责任参见第八章。</w:t>
      </w:r>
    </w:p>
    <w:p>
      <w:pPr>
        <w:pStyle w:val="18"/>
        <w:keepNext/>
        <w:keepLines/>
        <w:rPr>
          <w:b/>
          <w:bCs/>
          <w:color w:val="auto"/>
        </w:rPr>
      </w:pPr>
      <w:bookmarkStart w:id="519" w:name="bookmark925"/>
      <w:bookmarkStart w:id="520" w:name="bookmark924"/>
      <w:bookmarkStart w:id="521" w:name="bookmark926"/>
      <w:r>
        <w:rPr>
          <w:b/>
          <w:bCs/>
          <w:color w:val="auto"/>
        </w:rPr>
        <w:t>第七章考核与评价</w:t>
      </w:r>
      <w:bookmarkEnd w:id="519"/>
      <w:bookmarkEnd w:id="520"/>
      <w:bookmarkEnd w:id="521"/>
    </w:p>
    <w:p>
      <w:pPr>
        <w:pStyle w:val="14"/>
        <w:spacing w:line="306" w:lineRule="exact"/>
        <w:ind w:firstLine="440"/>
        <w:jc w:val="both"/>
        <w:rPr>
          <w:color w:val="auto"/>
        </w:rPr>
      </w:pPr>
      <w:r>
        <w:rPr>
          <w:b/>
          <w:bCs/>
          <w:color w:val="auto"/>
        </w:rPr>
        <w:t>第三十条</w:t>
      </w:r>
      <w:r>
        <w:rPr>
          <w:color w:val="auto"/>
        </w:rPr>
        <w:t>校学生资助管理中心每年年末组织对用工单位以及校园职场训练营参与学生的调查，请用工单位对勤工助学学生作出评定</w:t>
      </w:r>
      <w:r>
        <w:rPr>
          <w:rFonts w:hint="eastAsia"/>
          <w:color w:val="auto"/>
        </w:rPr>
        <w:t>；</w:t>
      </w:r>
      <w:r>
        <w:rPr>
          <w:color w:val="auto"/>
        </w:rPr>
        <w:t>每学期末请学院对勤工助学学生成绩及表现进行考核</w:t>
      </w:r>
      <w:r>
        <w:rPr>
          <w:rFonts w:hint="eastAsia"/>
          <w:color w:val="auto"/>
        </w:rPr>
        <w:t>；</w:t>
      </w:r>
      <w:r>
        <w:rPr>
          <w:color w:val="auto"/>
        </w:rPr>
        <w:t>同时请全体参与勤工助学的学生对所在用工单位进行评价，反馈用工部门用工情况。</w:t>
      </w:r>
    </w:p>
    <w:p>
      <w:pPr>
        <w:pStyle w:val="14"/>
        <w:spacing w:line="305" w:lineRule="exact"/>
        <w:ind w:firstLine="440"/>
        <w:jc w:val="both"/>
        <w:rPr>
          <w:color w:val="auto"/>
        </w:rPr>
      </w:pPr>
      <w:r>
        <w:rPr>
          <w:b/>
          <w:bCs/>
          <w:color w:val="auto"/>
        </w:rPr>
        <w:t>第三</w:t>
      </w:r>
      <w:r>
        <w:rPr>
          <w:b/>
          <w:bCs/>
          <w:color w:val="auto"/>
          <w:lang w:val="zh-CN" w:eastAsia="zh-CN" w:bidi="zh-CN"/>
        </w:rPr>
        <w:t>十一条</w:t>
      </w:r>
      <w:r>
        <w:rPr>
          <w:color w:val="auto"/>
        </w:rPr>
        <w:t>对违反本规定，无故不履行勤工助学用工合同或管理不力、学生安全不能得到保障的单位以及不能给予学生应有的指导、培训与管理的单位，将取消该单位勤工助学岗位的设置资格。</w:t>
      </w:r>
    </w:p>
    <w:p>
      <w:pPr>
        <w:pStyle w:val="14"/>
        <w:spacing w:line="305" w:lineRule="exact"/>
        <w:ind w:firstLine="440"/>
        <w:jc w:val="both"/>
        <w:rPr>
          <w:color w:val="auto"/>
        </w:rPr>
      </w:pPr>
      <w:r>
        <w:rPr>
          <w:b/>
          <w:bCs/>
          <w:color w:val="auto"/>
        </w:rPr>
        <w:t>第三十二条</w:t>
      </w:r>
      <w:r>
        <w:rPr>
          <w:color w:val="auto"/>
        </w:rPr>
        <w:t>对违反本规定，无故不履行工作职责、未按要求完成工作任务的学生，将酌情扣发或不发其劳务报酬，对情节严重者取消其参加勤工助学的资格</w:t>
      </w:r>
      <w:r>
        <w:rPr>
          <w:rFonts w:hint="eastAsia"/>
          <w:color w:val="auto"/>
        </w:rPr>
        <w:t>；</w:t>
      </w:r>
      <w:r>
        <w:rPr>
          <w:color w:val="auto"/>
        </w:rPr>
        <w:t>不能较好完成学业者取消其参加校园职场训练营资格</w:t>
      </w:r>
      <w:r>
        <w:rPr>
          <w:rFonts w:hint="eastAsia"/>
          <w:color w:val="auto"/>
        </w:rPr>
        <w:t>；</w:t>
      </w:r>
      <w:r>
        <w:rPr>
          <w:color w:val="auto"/>
        </w:rPr>
        <w:t>违反校纪校规者，将按照有关规定处理。</w:t>
      </w:r>
    </w:p>
    <w:p>
      <w:pPr>
        <w:pStyle w:val="14"/>
        <w:spacing w:after="380" w:line="305" w:lineRule="exact"/>
        <w:ind w:firstLine="440"/>
        <w:jc w:val="both"/>
        <w:rPr>
          <w:color w:val="auto"/>
        </w:rPr>
      </w:pPr>
      <w:r>
        <w:rPr>
          <w:b/>
          <w:bCs/>
          <w:color w:val="auto"/>
        </w:rPr>
        <w:t>第三十三条</w:t>
      </w:r>
      <w:r>
        <w:rPr>
          <w:color w:val="auto"/>
        </w:rPr>
        <w:t>对在勤工助学专项活动中表现突出的学生和优秀指导教师将由学校学生资助管理中心统一予以表彰，对表现特别突出的学生可由学校学生资助管理中心推荐参加学校“榜样金城——自强之星”的评选，对表现突出的优秀指导教师可推荐参加学校“教书育人、管理育人、服务育人</w:t>
      </w:r>
      <w:r>
        <w:rPr>
          <w:rFonts w:hint="eastAsia"/>
          <w:color w:val="auto"/>
        </w:rPr>
        <w:t>”</w:t>
      </w:r>
      <w:r>
        <w:rPr>
          <w:color w:val="auto"/>
        </w:rPr>
        <w:t>先进个人的评选。</w:t>
      </w:r>
    </w:p>
    <w:p>
      <w:pPr>
        <w:pStyle w:val="18"/>
        <w:keepNext/>
        <w:keepLines/>
        <w:rPr>
          <w:b/>
          <w:bCs/>
          <w:color w:val="auto"/>
        </w:rPr>
      </w:pPr>
      <w:bookmarkStart w:id="522" w:name="bookmark929"/>
      <w:bookmarkStart w:id="523" w:name="bookmark928"/>
      <w:bookmarkStart w:id="524" w:name="bookmark927"/>
      <w:r>
        <w:rPr>
          <w:b/>
          <w:bCs/>
          <w:color w:val="auto"/>
        </w:rPr>
        <w:t>第八章法律责任</w:t>
      </w:r>
      <w:bookmarkEnd w:id="522"/>
      <w:bookmarkEnd w:id="523"/>
      <w:bookmarkEnd w:id="524"/>
    </w:p>
    <w:p>
      <w:pPr>
        <w:pStyle w:val="14"/>
        <w:spacing w:line="304" w:lineRule="exact"/>
        <w:ind w:firstLine="440"/>
        <w:jc w:val="both"/>
        <w:rPr>
          <w:color w:val="auto"/>
        </w:rPr>
      </w:pPr>
      <w:r>
        <w:rPr>
          <w:b/>
          <w:bCs/>
          <w:color w:val="auto"/>
        </w:rPr>
        <w:t>第三十四条</w:t>
      </w:r>
      <w:r>
        <w:rPr>
          <w:color w:val="auto"/>
        </w:rPr>
        <w:t>学生通过学校相关机构推荐在校外开展勤工助学活动，校学生资助管理中心经学院授权，可代表学校与用人单位和学生签订具有法律效力的协议书。签订协议书并办理相关聘用手续后，学生方可开展勤工助学活动。协议书必须明确学校、用人单位和学生等各方的权利和义务，明确开展勤工助学活动的学生如发生意外伤害事故的处理办法以及争议的解决方法。</w:t>
      </w:r>
    </w:p>
    <w:p>
      <w:pPr>
        <w:pStyle w:val="14"/>
        <w:spacing w:after="380" w:line="312" w:lineRule="exact"/>
        <w:ind w:firstLine="440"/>
        <w:jc w:val="both"/>
        <w:rPr>
          <w:color w:val="auto"/>
        </w:rPr>
      </w:pPr>
      <w:r>
        <w:rPr>
          <w:b/>
          <w:bCs/>
          <w:color w:val="auto"/>
        </w:rPr>
        <w:t>第三十五条</w:t>
      </w:r>
      <w:r>
        <w:rPr>
          <w:color w:val="auto"/>
        </w:rPr>
        <w:t>在勤工助学活动中，如出现协议纠纷或学生意外伤害事故，协议各方应按照签订的协议协商解决。如达不成一致意见，按照有关法律法规的程序办理。</w:t>
      </w:r>
    </w:p>
    <w:p>
      <w:pPr>
        <w:pStyle w:val="18"/>
        <w:keepNext/>
        <w:keepLines/>
        <w:rPr>
          <w:b/>
          <w:bCs/>
          <w:color w:val="auto"/>
        </w:rPr>
      </w:pPr>
      <w:bookmarkStart w:id="525" w:name="bookmark932"/>
      <w:bookmarkStart w:id="526" w:name="bookmark931"/>
      <w:bookmarkStart w:id="527" w:name="bookmark930"/>
      <w:r>
        <w:rPr>
          <w:b/>
          <w:bCs/>
          <w:color w:val="auto"/>
        </w:rPr>
        <w:t>第九章附则</w:t>
      </w:r>
      <w:bookmarkEnd w:id="525"/>
      <w:bookmarkEnd w:id="526"/>
      <w:bookmarkEnd w:id="527"/>
    </w:p>
    <w:p>
      <w:pPr>
        <w:pStyle w:val="14"/>
        <w:spacing w:line="305" w:lineRule="exact"/>
        <w:ind w:firstLine="420"/>
        <w:jc w:val="both"/>
        <w:rPr>
          <w:color w:val="auto"/>
        </w:rPr>
      </w:pPr>
      <w:r>
        <w:rPr>
          <w:b/>
          <w:bCs/>
          <w:color w:val="auto"/>
        </w:rPr>
        <w:t>第三十六条</w:t>
      </w:r>
      <w:r>
        <w:rPr>
          <w:color w:val="auto"/>
        </w:rPr>
        <w:t>本办法由学校学生工作处负责解释。</w:t>
      </w:r>
    </w:p>
    <w:p>
      <w:pPr>
        <w:pStyle w:val="14"/>
        <w:spacing w:after="340" w:line="305" w:lineRule="exact"/>
        <w:ind w:firstLine="420"/>
        <w:jc w:val="both"/>
        <w:rPr>
          <w:color w:val="auto"/>
        </w:rPr>
        <w:sectPr>
          <w:headerReference r:id="rId48" w:type="default"/>
          <w:footerReference r:id="rId50" w:type="default"/>
          <w:headerReference r:id="rId49" w:type="even"/>
          <w:footerReference r:id="rId51" w:type="even"/>
          <w:type w:val="continuous"/>
          <w:pgSz w:w="9800" w:h="15120"/>
          <w:pgMar w:top="1043" w:right="652" w:bottom="987" w:left="663" w:header="0" w:footer="3" w:gutter="0"/>
          <w:pgNumType w:fmt="decimal"/>
          <w:cols w:space="720" w:num="1"/>
          <w:docGrid w:linePitch="360" w:charSpace="0"/>
        </w:sectPr>
      </w:pPr>
      <w:r>
        <w:rPr>
          <w:b/>
          <w:bCs/>
          <w:color w:val="auto"/>
        </w:rPr>
        <w:t>第三十七条</w:t>
      </w:r>
      <w:r>
        <w:rPr>
          <w:color w:val="auto"/>
        </w:rPr>
        <w:t>本办法自颁布之日起执行</w:t>
      </w:r>
      <w:r>
        <w:rPr>
          <w:rFonts w:hint="eastAsia"/>
          <w:color w:val="auto"/>
        </w:rPr>
        <w:t>。</w:t>
      </w:r>
      <w:bookmarkStart w:id="528" w:name="bookmark934"/>
      <w:bookmarkStart w:id="529" w:name="bookmark933"/>
      <w:bookmarkStart w:id="530" w:name="bookmark935"/>
    </w:p>
    <w:p>
      <w:pPr>
        <w:pStyle w:val="2"/>
        <w:rPr>
          <w:rFonts w:hint="eastAsia" w:ascii="宋体" w:hAnsi="宋体" w:eastAsia="宋体" w:cs="宋体"/>
          <w:color w:val="auto"/>
          <w:kern w:val="0"/>
          <w:sz w:val="38"/>
          <w:szCs w:val="38"/>
          <w:lang w:val="zh-TW" w:eastAsia="zh-CN" w:bidi="zh-TW"/>
        </w:rPr>
      </w:pPr>
      <w:r>
        <w:rPr>
          <w:rFonts w:hint="eastAsia" w:ascii="宋体" w:hAnsi="宋体" w:eastAsia="宋体" w:cs="宋体"/>
          <w:color w:val="auto"/>
          <w:kern w:val="0"/>
          <w:sz w:val="38"/>
          <w:szCs w:val="38"/>
          <w:lang w:val="zh-TW" w:eastAsia="zh-TW" w:bidi="zh-TW"/>
        </w:rPr>
        <w:t>南京航空航天大学金城学院</w:t>
      </w:r>
    </w:p>
    <w:p>
      <w:pPr>
        <w:pStyle w:val="2"/>
        <w:rPr>
          <w:rFonts w:ascii="宋体" w:hAnsi="宋体" w:eastAsia="宋体" w:cs="宋体"/>
          <w:color w:val="auto"/>
          <w:kern w:val="0"/>
          <w:sz w:val="38"/>
          <w:szCs w:val="38"/>
          <w:lang w:val="zh-TW" w:eastAsia="zh-TW" w:bidi="zh-TW"/>
        </w:rPr>
      </w:pPr>
      <w:r>
        <w:rPr>
          <w:rFonts w:hint="eastAsia" w:ascii="宋体" w:hAnsi="宋体" w:eastAsia="宋体" w:cs="宋体"/>
          <w:color w:val="auto"/>
          <w:kern w:val="0"/>
          <w:sz w:val="38"/>
          <w:szCs w:val="38"/>
          <w:lang w:val="zh-TW" w:eastAsia="zh-TW" w:bidi="zh-TW"/>
        </w:rPr>
        <w:t>家庭经济困难学生资助实施办法</w:t>
      </w:r>
      <w:bookmarkEnd w:id="528"/>
      <w:bookmarkEnd w:id="529"/>
      <w:bookmarkEnd w:id="530"/>
    </w:p>
    <w:p>
      <w:pPr>
        <w:pStyle w:val="18"/>
        <w:keepNext/>
        <w:keepLines/>
        <w:spacing w:after="320"/>
        <w:rPr>
          <w:b/>
          <w:bCs/>
          <w:color w:val="auto"/>
        </w:rPr>
      </w:pPr>
      <w:bookmarkStart w:id="531" w:name="bookmark937"/>
      <w:bookmarkStart w:id="532" w:name="bookmark936"/>
      <w:bookmarkStart w:id="533" w:name="bookmark938"/>
      <w:r>
        <w:rPr>
          <w:b/>
          <w:bCs/>
          <w:color w:val="auto"/>
        </w:rPr>
        <w:t>第一章总则</w:t>
      </w:r>
      <w:bookmarkEnd w:id="531"/>
      <w:bookmarkEnd w:id="532"/>
      <w:bookmarkEnd w:id="533"/>
    </w:p>
    <w:p>
      <w:pPr>
        <w:pStyle w:val="14"/>
        <w:spacing w:line="300" w:lineRule="exact"/>
        <w:ind w:firstLine="440"/>
        <w:jc w:val="both"/>
        <w:rPr>
          <w:color w:val="auto"/>
        </w:rPr>
      </w:pPr>
      <w:r>
        <w:rPr>
          <w:b/>
          <w:bCs/>
          <w:color w:val="auto"/>
        </w:rPr>
        <w:t>第一条</w:t>
      </w:r>
      <w:r>
        <w:rPr>
          <w:color w:val="auto"/>
        </w:rPr>
        <w:t>为贯彻落实国务院《关于建立健全普通本科高校高等职业学校和中等职业学校家庭经济困难学生资助政策体系的意见》（国发〔</w:t>
      </w:r>
      <w:r>
        <w:rPr>
          <w:rFonts w:ascii="Times New Roman" w:hAnsi="Times New Roman" w:eastAsia="Times New Roman" w:cs="Times New Roman"/>
          <w:color w:val="auto"/>
          <w:sz w:val="20"/>
          <w:szCs w:val="20"/>
        </w:rPr>
        <w:t>2007</w:t>
      </w:r>
      <w:r>
        <w:rPr>
          <w:color w:val="auto"/>
        </w:rPr>
        <w:t>〕</w:t>
      </w:r>
      <w:r>
        <w:rPr>
          <w:rFonts w:ascii="Times New Roman" w:hAnsi="Times New Roman" w:eastAsia="Times New Roman" w:cs="Times New Roman"/>
          <w:color w:val="auto"/>
          <w:sz w:val="20"/>
          <w:szCs w:val="20"/>
        </w:rPr>
        <w:t>13</w:t>
      </w:r>
      <w:r>
        <w:rPr>
          <w:color w:val="auto"/>
        </w:rPr>
        <w:t>号）和江苏省政府《关于建立健全普通本科高校高等职业学校和中等职业学校家庭经济困难学生资助政策体系的实施意见》（苏政发〔</w:t>
      </w:r>
      <w:r>
        <w:rPr>
          <w:rFonts w:ascii="Times New Roman" w:hAnsi="Times New Roman" w:eastAsia="Times New Roman" w:cs="Times New Roman"/>
          <w:color w:val="auto"/>
          <w:sz w:val="20"/>
          <w:szCs w:val="20"/>
        </w:rPr>
        <w:t>2007</w:t>
      </w:r>
      <w:r>
        <w:rPr>
          <w:color w:val="auto"/>
        </w:rPr>
        <w:t>〕</w:t>
      </w:r>
      <w:r>
        <w:rPr>
          <w:rFonts w:ascii="Times New Roman" w:hAnsi="Times New Roman" w:eastAsia="Times New Roman" w:cs="Times New Roman"/>
          <w:color w:val="auto"/>
          <w:sz w:val="20"/>
          <w:szCs w:val="20"/>
        </w:rPr>
        <w:t>94</w:t>
      </w:r>
      <w:r>
        <w:rPr>
          <w:color w:val="auto"/>
        </w:rPr>
        <w:t>号）等文件精神，切实做好我校家庭经济困难学生资助工作，特制定本办法。</w:t>
      </w:r>
    </w:p>
    <w:p>
      <w:pPr>
        <w:pStyle w:val="14"/>
        <w:spacing w:line="300" w:lineRule="exact"/>
        <w:ind w:firstLine="440"/>
        <w:jc w:val="both"/>
        <w:rPr>
          <w:color w:val="auto"/>
        </w:rPr>
      </w:pPr>
      <w:r>
        <w:rPr>
          <w:b/>
          <w:bCs/>
          <w:color w:val="auto"/>
        </w:rPr>
        <w:t>第二条</w:t>
      </w:r>
      <w:r>
        <w:rPr>
          <w:color w:val="auto"/>
        </w:rPr>
        <w:t>家庭经济困难学生资助工作的基本思路是：以</w:t>
      </w:r>
      <w:r>
        <w:rPr>
          <w:color w:val="auto"/>
          <w:lang w:val="zh-CN" w:eastAsia="zh-CN" w:bidi="zh-CN"/>
        </w:rPr>
        <w:t>“三个</w:t>
      </w:r>
      <w:r>
        <w:rPr>
          <w:color w:val="auto"/>
        </w:rPr>
        <w:t>代表”重要思想为指导，认真贯彻落实科学发展观，按照</w:t>
      </w:r>
      <w:r>
        <w:rPr>
          <w:color w:val="auto"/>
          <w:lang w:val="zh-CN" w:eastAsia="zh-CN" w:bidi="zh-CN"/>
        </w:rPr>
        <w:t>“教</w:t>
      </w:r>
      <w:r>
        <w:rPr>
          <w:color w:val="auto"/>
        </w:rPr>
        <w:t>育人、引导人、关心人、帮助人”的总体要求，建立和完善家庭经济困难学生资助政策措施，在准确掌握家庭经济困难学生基本信息的基础上，深化</w:t>
      </w:r>
      <w:r>
        <w:rPr>
          <w:color w:val="auto"/>
          <w:lang w:val="zh-CN" w:eastAsia="zh-CN" w:bidi="zh-CN"/>
        </w:rPr>
        <w:t>“奖、</w:t>
      </w:r>
      <w:r>
        <w:rPr>
          <w:color w:val="auto"/>
        </w:rPr>
        <w:t>助、贷、勤、减、导”工作内容体系，逐步建立经济资助与精神资助并行的服务发展型双资助模式，全面服务于学生的成长、成才与发展，进一步优化我校资助资源，维护教育公平和社会公正，促进</w:t>
      </w:r>
      <w:r>
        <w:rPr>
          <w:rFonts w:hint="eastAsia"/>
          <w:color w:val="auto"/>
        </w:rPr>
        <w:t>和谐</w:t>
      </w:r>
      <w:r>
        <w:rPr>
          <w:color w:val="auto"/>
        </w:rPr>
        <w:t>校园建设和高等教育可持续发展。</w:t>
      </w:r>
    </w:p>
    <w:p>
      <w:pPr>
        <w:pStyle w:val="14"/>
        <w:spacing w:line="300" w:lineRule="exact"/>
        <w:ind w:firstLine="440"/>
        <w:jc w:val="both"/>
        <w:rPr>
          <w:color w:val="auto"/>
        </w:rPr>
      </w:pPr>
      <w:r>
        <w:rPr>
          <w:b/>
          <w:bCs/>
          <w:color w:val="auto"/>
        </w:rPr>
        <w:t>第三条</w:t>
      </w:r>
      <w:r>
        <w:rPr>
          <w:color w:val="auto"/>
        </w:rPr>
        <w:t>家庭经济困难学生资助工作基本目标是：一、绝不让一名家庭经济困难学生因贫辍学，并基本解决家庭经济困难学生基本生活保障；二、建立健全家庭经济困难学生认定与资助工作体系，深化以助学贷款为主体，其他助学方式为支撑的助学服务内涵，分层分类管理，提高助学工作的效率与效果；三、加强教育引导，构建经济资助与精神资助并行的服务发展型双资助模式，实现资助工作与育人工作紧密结合，实现家庭经济困难学生由受助到自助再到助人的转变。</w:t>
      </w:r>
    </w:p>
    <w:p>
      <w:pPr>
        <w:pStyle w:val="14"/>
        <w:spacing w:line="300" w:lineRule="exact"/>
        <w:ind w:firstLine="440"/>
        <w:jc w:val="both"/>
        <w:rPr>
          <w:color w:val="auto"/>
        </w:rPr>
      </w:pPr>
      <w:r>
        <w:rPr>
          <w:b/>
          <w:bCs/>
          <w:color w:val="auto"/>
        </w:rPr>
        <w:t>第四条</w:t>
      </w:r>
      <w:r>
        <w:rPr>
          <w:color w:val="auto"/>
        </w:rPr>
        <w:t>家庭经济困难学生资助工作坚持</w:t>
      </w:r>
      <w:r>
        <w:rPr>
          <w:color w:val="auto"/>
          <w:lang w:val="zh-CN" w:eastAsia="zh-CN" w:bidi="zh-CN"/>
        </w:rPr>
        <w:t>“公平</w:t>
      </w:r>
      <w:r>
        <w:rPr>
          <w:color w:val="auto"/>
        </w:rPr>
        <w:t>公正、帮困育人”的工作原则，合理分配资助资源，确保政府、社会与学校各项资助政策与措施真正落实到家庭经济困难学生身上。</w:t>
      </w:r>
    </w:p>
    <w:p>
      <w:pPr>
        <w:pStyle w:val="14"/>
        <w:spacing w:after="360" w:line="300" w:lineRule="exact"/>
        <w:ind w:firstLine="440"/>
        <w:jc w:val="both"/>
        <w:rPr>
          <w:color w:val="auto"/>
        </w:rPr>
      </w:pPr>
      <w:r>
        <w:rPr>
          <w:b/>
          <w:bCs/>
          <w:color w:val="auto"/>
        </w:rPr>
        <w:t>第五条</w:t>
      </w:r>
      <w:r>
        <w:rPr>
          <w:color w:val="auto"/>
        </w:rPr>
        <w:t>本办法所称的家庭经济困难学生是指我校全日制计划内在校本科学生中本人及其家庭所能筹集到的资金，难以支付在校学习期间的学习和生活基本费用的学生</w:t>
      </w:r>
      <w:r>
        <w:rPr>
          <w:rFonts w:hint="eastAsia"/>
          <w:color w:val="auto"/>
        </w:rPr>
        <w:t>；</w:t>
      </w:r>
      <w:r>
        <w:rPr>
          <w:color w:val="auto"/>
        </w:rPr>
        <w:t>家庭经济困难学生需经学校、学院二级资格程序认定核实，并提供相关证明材料。</w:t>
      </w:r>
    </w:p>
    <w:p>
      <w:pPr>
        <w:pStyle w:val="18"/>
        <w:keepNext/>
        <w:keepLines/>
        <w:spacing w:after="320"/>
        <w:rPr>
          <w:b/>
          <w:bCs/>
          <w:color w:val="auto"/>
        </w:rPr>
      </w:pPr>
      <w:bookmarkStart w:id="534" w:name="bookmark939"/>
      <w:bookmarkStart w:id="535" w:name="bookmark941"/>
      <w:bookmarkStart w:id="536" w:name="bookmark940"/>
      <w:r>
        <w:rPr>
          <w:b/>
          <w:bCs/>
          <w:color w:val="auto"/>
        </w:rPr>
        <w:t>第二章资助体系与内容</w:t>
      </w:r>
      <w:bookmarkEnd w:id="534"/>
      <w:bookmarkEnd w:id="535"/>
      <w:bookmarkEnd w:id="536"/>
    </w:p>
    <w:p>
      <w:pPr>
        <w:pStyle w:val="14"/>
        <w:spacing w:line="305" w:lineRule="exact"/>
        <w:ind w:firstLine="440"/>
        <w:jc w:val="both"/>
        <w:rPr>
          <w:color w:val="auto"/>
        </w:rPr>
      </w:pPr>
      <w:r>
        <w:rPr>
          <w:b/>
          <w:bCs/>
          <w:color w:val="auto"/>
        </w:rPr>
        <w:t>第六条</w:t>
      </w:r>
      <w:r>
        <w:rPr>
          <w:color w:val="auto"/>
        </w:rPr>
        <w:t>家庭经济困难学生资助服务系统建设坚持“以育人为指导思想，自助为主，他助为辅”的总原则，坚持多元混合资助，统筹政府、学校、社会等多种资助渠道，为家庭经济困难学生提供有针对性、分层次的资助体系，资助体系主要由奖、助、贷、勤、减、导以及绿色通道等内容组成。</w:t>
      </w:r>
    </w:p>
    <w:p>
      <w:pPr>
        <w:pStyle w:val="14"/>
        <w:spacing w:line="305" w:lineRule="exact"/>
        <w:ind w:firstLine="440"/>
        <w:jc w:val="both"/>
        <w:rPr>
          <w:color w:val="auto"/>
        </w:rPr>
      </w:pPr>
      <w:r>
        <w:rPr>
          <w:b/>
          <w:bCs/>
          <w:color w:val="auto"/>
        </w:rPr>
        <w:t>第七条</w:t>
      </w:r>
      <w:r>
        <w:rPr>
          <w:color w:val="auto"/>
        </w:rPr>
        <w:t>“奖”是指中央及地方政府资助的国家奖学金、国家励志奖学金等政府类奖学金、学校奖学金以及企事业单位在我校设立的奖</w:t>
      </w:r>
      <w:r>
        <w:rPr>
          <w:rFonts w:hint="eastAsia"/>
          <w:color w:val="auto"/>
        </w:rPr>
        <w:t>金。</w:t>
      </w:r>
    </w:p>
    <w:p>
      <w:pPr>
        <w:pStyle w:val="14"/>
        <w:spacing w:line="305" w:lineRule="exact"/>
        <w:ind w:firstLine="440"/>
        <w:jc w:val="both"/>
        <w:rPr>
          <w:color w:val="auto"/>
        </w:rPr>
      </w:pPr>
      <w:r>
        <w:rPr>
          <w:b/>
          <w:bCs/>
          <w:color w:val="auto"/>
        </w:rPr>
        <w:t>第八条</w:t>
      </w:r>
      <w:r>
        <w:rPr>
          <w:color w:val="auto"/>
        </w:rPr>
        <w:t>“助”是指中央与地方政府资助的国家助学金等政府类助学金以及慈善团体、企事业单位与个人在我校设立的助学金</w:t>
      </w:r>
      <w:r>
        <w:rPr>
          <w:rFonts w:hint="eastAsia"/>
          <w:color w:val="auto"/>
        </w:rPr>
        <w:t>。</w:t>
      </w:r>
    </w:p>
    <w:p>
      <w:pPr>
        <w:pStyle w:val="14"/>
        <w:spacing w:line="305" w:lineRule="exact"/>
        <w:ind w:firstLine="440"/>
        <w:jc w:val="both"/>
        <w:rPr>
          <w:color w:val="auto"/>
        </w:rPr>
      </w:pPr>
      <w:r>
        <w:rPr>
          <w:b/>
          <w:bCs/>
          <w:color w:val="auto"/>
        </w:rPr>
        <w:t>第九条</w:t>
      </w:r>
      <w:r>
        <w:rPr>
          <w:color w:val="auto"/>
        </w:rPr>
        <w:t>“贷”是指国家助学贷款与生源地信用助学贷款。学校按照有关政策与文件精神，加强与经办行间的交流与联系，进一步推进我校国家助学贷款工作；积极协助相关部门开展各地生源地信用助学贷款工作。</w:t>
      </w:r>
    </w:p>
    <w:p>
      <w:pPr>
        <w:pStyle w:val="14"/>
        <w:spacing w:line="305" w:lineRule="exact"/>
        <w:ind w:firstLine="440"/>
        <w:jc w:val="both"/>
        <w:rPr>
          <w:color w:val="auto"/>
        </w:rPr>
      </w:pPr>
      <w:r>
        <w:rPr>
          <w:b/>
          <w:bCs/>
          <w:color w:val="auto"/>
        </w:rPr>
        <w:t>第十条</w:t>
      </w:r>
      <w:r>
        <w:rPr>
          <w:color w:val="auto"/>
        </w:rPr>
        <w:t>“勤”是指勤工助学。学校积极开拓校内外勤工助学岗位，统一规划与管理，加强培训与指导，使学生通过有偿服务，不但缓解经济上的压力，同时有机会提升自身的综合</w:t>
      </w:r>
      <w:r>
        <w:rPr>
          <w:color w:val="auto"/>
          <w:lang w:val="zh-CN" w:eastAsia="zh-CN" w:bidi="zh-CN"/>
        </w:rPr>
        <w:t>素质。</w:t>
      </w:r>
    </w:p>
    <w:p>
      <w:pPr>
        <w:pStyle w:val="14"/>
        <w:spacing w:line="305" w:lineRule="exact"/>
        <w:ind w:firstLine="440"/>
        <w:jc w:val="both"/>
        <w:rPr>
          <w:color w:val="auto"/>
        </w:rPr>
      </w:pPr>
      <w:r>
        <w:rPr>
          <w:b/>
          <w:bCs/>
          <w:color w:val="auto"/>
        </w:rPr>
        <w:t>第十一条</w:t>
      </w:r>
      <w:r>
        <w:rPr>
          <w:color w:val="auto"/>
          <w:lang w:val="zh-CN" w:eastAsia="zh-CN" w:bidi="zh-CN"/>
        </w:rPr>
        <w:t>“减”</w:t>
      </w:r>
      <w:r>
        <w:rPr>
          <w:color w:val="auto"/>
        </w:rPr>
        <w:t>是指我校按照国家</w:t>
      </w:r>
      <w:r>
        <w:rPr>
          <w:color w:val="auto"/>
          <w:lang w:val="zh-CN" w:eastAsia="zh-CN" w:bidi="zh-CN"/>
        </w:rPr>
        <w:t>“西</w:t>
      </w:r>
      <w:r>
        <w:rPr>
          <w:color w:val="auto"/>
        </w:rPr>
        <w:t>部开发助学工程”等项目的减免政策，对于家庭经济困难学生给予的学杂费减免。</w:t>
      </w:r>
    </w:p>
    <w:p>
      <w:pPr>
        <w:pStyle w:val="14"/>
        <w:spacing w:line="305" w:lineRule="exact"/>
        <w:ind w:firstLine="440"/>
        <w:jc w:val="both"/>
        <w:rPr>
          <w:color w:val="auto"/>
        </w:rPr>
      </w:pPr>
      <w:r>
        <w:rPr>
          <w:b/>
          <w:bCs/>
          <w:color w:val="auto"/>
        </w:rPr>
        <w:t>第十二条</w:t>
      </w:r>
      <w:r>
        <w:rPr>
          <w:color w:val="auto"/>
          <w:lang w:val="zh-CN" w:eastAsia="zh-CN" w:bidi="zh-CN"/>
        </w:rPr>
        <w:t>“导”</w:t>
      </w:r>
      <w:r>
        <w:rPr>
          <w:color w:val="auto"/>
        </w:rPr>
        <w:t>是指心理疏导、团队辅导与职业生涯引导。学校针对家庭经济困难学生提供心理咨询与疏导、定期开展团队训练与辅导活动，积极引导他们进行职业生涯的规划。</w:t>
      </w:r>
    </w:p>
    <w:p>
      <w:pPr>
        <w:pStyle w:val="14"/>
        <w:spacing w:line="305" w:lineRule="exact"/>
        <w:ind w:firstLine="440"/>
        <w:jc w:val="both"/>
        <w:rPr>
          <w:color w:val="auto"/>
        </w:rPr>
      </w:pPr>
      <w:r>
        <w:rPr>
          <w:b/>
          <w:bCs/>
          <w:color w:val="auto"/>
        </w:rPr>
        <w:t>第十三条</w:t>
      </w:r>
      <w:r>
        <w:rPr>
          <w:color w:val="auto"/>
          <w:lang w:val="zh-CN" w:eastAsia="zh-CN" w:bidi="zh-CN"/>
        </w:rPr>
        <w:t>“绿色</w:t>
      </w:r>
      <w:r>
        <w:rPr>
          <w:color w:val="auto"/>
        </w:rPr>
        <w:t>通道”是指被我校录取的家庭经济困难新生，实行学杂费、住宿费缓缴制度，一律先办理入学报到手续，保证新生顺利入学。</w:t>
      </w:r>
    </w:p>
    <w:p>
      <w:pPr>
        <w:pStyle w:val="14"/>
        <w:spacing w:line="305" w:lineRule="exact"/>
        <w:ind w:firstLine="440"/>
        <w:jc w:val="both"/>
        <w:rPr>
          <w:color w:val="auto"/>
        </w:rPr>
      </w:pPr>
      <w:r>
        <w:rPr>
          <w:b/>
          <w:bCs/>
          <w:color w:val="auto"/>
        </w:rPr>
        <w:t>第十四条</w:t>
      </w:r>
      <w:r>
        <w:rPr>
          <w:color w:val="auto"/>
        </w:rPr>
        <w:t>学校每年按照有关规定下拨专项经费，用于勤工助学、学费减免等项目。</w:t>
      </w:r>
    </w:p>
    <w:p>
      <w:pPr>
        <w:pStyle w:val="14"/>
        <w:spacing w:line="305" w:lineRule="exact"/>
        <w:ind w:firstLine="440"/>
        <w:jc w:val="both"/>
        <w:rPr>
          <w:color w:val="auto"/>
        </w:rPr>
      </w:pPr>
      <w:r>
        <w:rPr>
          <w:b/>
          <w:bCs/>
          <w:color w:val="auto"/>
        </w:rPr>
        <w:t>第十五条</w:t>
      </w:r>
      <w:r>
        <w:rPr>
          <w:color w:val="auto"/>
        </w:rPr>
        <w:t>学校将积极主动加强与社会团体、企事业单位、慈善机构以及校友等的联系，采取各种形式争取社会资助，进一步拓宽我校家庭经济困难学生资助的渠道。</w:t>
      </w:r>
    </w:p>
    <w:p>
      <w:pPr>
        <w:pStyle w:val="14"/>
        <w:spacing w:after="360" w:line="305" w:lineRule="exact"/>
        <w:ind w:firstLine="440"/>
        <w:jc w:val="both"/>
        <w:rPr>
          <w:color w:val="auto"/>
        </w:rPr>
      </w:pPr>
      <w:r>
        <w:rPr>
          <w:b/>
          <w:bCs/>
          <w:color w:val="auto"/>
        </w:rPr>
        <w:t>第十六条</w:t>
      </w:r>
      <w:r>
        <w:rPr>
          <w:color w:val="auto"/>
        </w:rPr>
        <w:t>学校对各项资助内容合理分配，优化配置，分类分层的全面资助与有选择的重点资助相结合，兼顾资助面与资助额，避免重复资助、过高资助或过低资助，确保资助政策与措施真正用到家庭经济困难学生身上。</w:t>
      </w:r>
    </w:p>
    <w:p>
      <w:pPr>
        <w:pStyle w:val="18"/>
        <w:keepNext/>
        <w:keepLines/>
        <w:spacing w:after="320"/>
        <w:rPr>
          <w:b/>
          <w:bCs/>
          <w:color w:val="auto"/>
        </w:rPr>
      </w:pPr>
      <w:bookmarkStart w:id="537" w:name="bookmark944"/>
      <w:bookmarkStart w:id="538" w:name="bookmark942"/>
      <w:bookmarkStart w:id="539" w:name="bookmark943"/>
      <w:r>
        <w:rPr>
          <w:b/>
          <w:bCs/>
          <w:color w:val="auto"/>
        </w:rPr>
        <w:t>第三章资助机构与管理</w:t>
      </w:r>
      <w:bookmarkEnd w:id="537"/>
      <w:bookmarkEnd w:id="538"/>
      <w:bookmarkEnd w:id="539"/>
    </w:p>
    <w:p>
      <w:pPr>
        <w:pStyle w:val="14"/>
        <w:spacing w:line="299" w:lineRule="exact"/>
        <w:ind w:firstLine="440"/>
        <w:jc w:val="both"/>
        <w:rPr>
          <w:color w:val="auto"/>
        </w:rPr>
      </w:pPr>
      <w:r>
        <w:rPr>
          <w:b/>
          <w:bCs/>
          <w:color w:val="auto"/>
        </w:rPr>
        <w:t>第十七条</w:t>
      </w:r>
      <w:r>
        <w:rPr>
          <w:color w:val="auto"/>
        </w:rPr>
        <w:t>学校成立家庭经济困难学生资助工作委员会，全面负责学校家庭经济困难学生资助工作。委员会由分管学生工作的校领导，学生工作处、教学科研处、财务处等部门的负责同志以及各学院学生工作主管领导组成。</w:t>
      </w:r>
    </w:p>
    <w:p>
      <w:pPr>
        <w:pStyle w:val="14"/>
        <w:spacing w:line="299" w:lineRule="exact"/>
        <w:ind w:firstLine="440"/>
        <w:jc w:val="both"/>
        <w:rPr>
          <w:color w:val="auto"/>
        </w:rPr>
      </w:pPr>
      <w:r>
        <w:rPr>
          <w:b/>
          <w:bCs/>
          <w:color w:val="auto"/>
        </w:rPr>
        <w:t>第十八条</w:t>
      </w:r>
      <w:r>
        <w:rPr>
          <w:color w:val="auto"/>
        </w:rPr>
        <w:t>家庭经济困难学生资助工作委员会的主要职责是制定学校家庭经济困难学生资助政策，确定家庭经济困难学生资助实施方案，协调校内外的关系，积极开拓家庭经济困难学生的资助渠道。</w:t>
      </w:r>
    </w:p>
    <w:p>
      <w:pPr>
        <w:pStyle w:val="14"/>
        <w:spacing w:after="360" w:line="299" w:lineRule="exact"/>
        <w:ind w:firstLine="440"/>
        <w:jc w:val="both"/>
        <w:rPr>
          <w:color w:val="auto"/>
        </w:rPr>
      </w:pPr>
      <w:r>
        <w:rPr>
          <w:b/>
          <w:bCs/>
          <w:color w:val="auto"/>
        </w:rPr>
        <w:t>第十九条</w:t>
      </w:r>
      <w:r>
        <w:rPr>
          <w:color w:val="auto"/>
        </w:rPr>
        <w:t>学生工作处学生资助管理中心为家庭经济困难学生资助工作委员会下设办公室，负责全校学生资助的具体管理、实施工作、统筹分配，为委员会的日常办事机构。</w:t>
      </w:r>
    </w:p>
    <w:p>
      <w:pPr>
        <w:pStyle w:val="18"/>
        <w:keepNext/>
        <w:keepLines/>
        <w:spacing w:after="320"/>
        <w:rPr>
          <w:b/>
          <w:bCs/>
          <w:color w:val="auto"/>
        </w:rPr>
      </w:pPr>
      <w:bookmarkStart w:id="540" w:name="bookmark946"/>
      <w:bookmarkStart w:id="541" w:name="bookmark945"/>
      <w:bookmarkStart w:id="542" w:name="bookmark947"/>
      <w:r>
        <w:rPr>
          <w:b/>
          <w:bCs/>
          <w:color w:val="auto"/>
        </w:rPr>
        <w:t>第四章资助程序</w:t>
      </w:r>
      <w:bookmarkEnd w:id="540"/>
      <w:bookmarkEnd w:id="541"/>
      <w:bookmarkEnd w:id="542"/>
    </w:p>
    <w:p>
      <w:pPr>
        <w:pStyle w:val="14"/>
        <w:spacing w:line="305" w:lineRule="exact"/>
        <w:ind w:firstLine="440"/>
        <w:jc w:val="both"/>
        <w:rPr>
          <w:color w:val="auto"/>
        </w:rPr>
      </w:pPr>
      <w:r>
        <w:rPr>
          <w:b/>
          <w:bCs/>
          <w:color w:val="auto"/>
        </w:rPr>
        <w:t>第二十条</w:t>
      </w:r>
      <w:r>
        <w:rPr>
          <w:color w:val="auto"/>
        </w:rPr>
        <w:t>学校按照《关于认真做好南京航空航天大学金城学院家庭经济困难学生认定工作的实施意见》的要求，做好家庭经济困难学生的认定工作。</w:t>
      </w:r>
    </w:p>
    <w:p>
      <w:pPr>
        <w:pStyle w:val="14"/>
        <w:spacing w:line="305" w:lineRule="exact"/>
        <w:ind w:firstLine="440"/>
        <w:jc w:val="both"/>
        <w:rPr>
          <w:color w:val="auto"/>
        </w:rPr>
      </w:pPr>
      <w:r>
        <w:rPr>
          <w:b/>
          <w:bCs/>
          <w:color w:val="auto"/>
        </w:rPr>
        <w:t>第二十一条</w:t>
      </w:r>
      <w:r>
        <w:rPr>
          <w:color w:val="auto"/>
        </w:rPr>
        <w:t>学校为家庭经济困难学生建立家庭经济困难学生数据库，建立准确的家庭经济困难学生资助信息档案。</w:t>
      </w:r>
    </w:p>
    <w:p>
      <w:pPr>
        <w:pStyle w:val="14"/>
        <w:spacing w:line="305" w:lineRule="exact"/>
        <w:ind w:firstLine="442"/>
        <w:jc w:val="both"/>
        <w:rPr>
          <w:rFonts w:eastAsia="PMingLiU"/>
          <w:color w:val="auto"/>
        </w:rPr>
      </w:pPr>
      <w:r>
        <w:rPr>
          <w:b/>
          <w:bCs/>
          <w:color w:val="auto"/>
        </w:rPr>
        <w:t>第二十二条</w:t>
      </w:r>
      <w:r>
        <w:rPr>
          <w:color w:val="auto"/>
        </w:rPr>
        <w:t>学校统一管理各类资助措施，统筹分配与规划各类资助款项，按照认定等级标准（特别困难、困难、一般困难）确定相应的资助方案，确保家庭经济特别困难学生每月生活费用不低于</w:t>
      </w:r>
      <w:r>
        <w:rPr>
          <w:rFonts w:ascii="Times New Roman" w:hAnsi="Times New Roman" w:eastAsia="Times New Roman" w:cs="Times New Roman"/>
          <w:color w:val="auto"/>
          <w:sz w:val="20"/>
          <w:szCs w:val="20"/>
        </w:rPr>
        <w:t>300</w:t>
      </w:r>
      <w:r>
        <w:rPr>
          <w:color w:val="auto"/>
        </w:rPr>
        <w:t>元，同时确保额度最大的资助款项能够发放到家庭经济最困难的学生。</w:t>
      </w:r>
    </w:p>
    <w:p>
      <w:pPr>
        <w:pStyle w:val="14"/>
        <w:spacing w:line="305" w:lineRule="exact"/>
        <w:ind w:firstLine="442"/>
        <w:jc w:val="both"/>
        <w:rPr>
          <w:color w:val="auto"/>
        </w:rPr>
      </w:pPr>
      <w:r>
        <w:rPr>
          <w:b/>
          <w:bCs/>
          <w:color w:val="auto"/>
        </w:rPr>
        <w:t>第二十三条</w:t>
      </w:r>
      <w:r>
        <w:rPr>
          <w:color w:val="auto"/>
        </w:rPr>
        <w:t>国家奖学金、国家励志奖学金、国家助学金等政府类奖助学金的申请、管理与使用按照上级下发文件要求与学校国家助奖学金实施办法执行。</w:t>
      </w:r>
    </w:p>
    <w:p>
      <w:pPr>
        <w:pStyle w:val="14"/>
        <w:spacing w:line="307" w:lineRule="exact"/>
        <w:ind w:firstLine="442"/>
        <w:jc w:val="both"/>
        <w:rPr>
          <w:color w:val="auto"/>
        </w:rPr>
      </w:pPr>
      <w:r>
        <w:rPr>
          <w:b/>
          <w:bCs/>
          <w:color w:val="auto"/>
        </w:rPr>
        <w:t>第二十四条</w:t>
      </w:r>
      <w:r>
        <w:rPr>
          <w:color w:val="auto"/>
        </w:rPr>
        <w:t>社会类助学金的申请、管理与使用按照资助团体的要求与相关协议执行。</w:t>
      </w:r>
    </w:p>
    <w:p>
      <w:pPr>
        <w:pStyle w:val="14"/>
        <w:spacing w:line="307" w:lineRule="exact"/>
        <w:ind w:firstLine="442"/>
        <w:jc w:val="both"/>
        <w:rPr>
          <w:color w:val="auto"/>
        </w:rPr>
      </w:pPr>
      <w:r>
        <w:rPr>
          <w:b/>
          <w:bCs/>
          <w:color w:val="auto"/>
        </w:rPr>
        <w:t>第二十五条</w:t>
      </w:r>
      <w:r>
        <w:rPr>
          <w:color w:val="auto"/>
        </w:rPr>
        <w:t>相关部门和学院应按照相关资助政策的有关规定和程序按时完成国家奖学金、国家励志奖学金、国家助学金、各种社会类助学金、国家助学贷款及其他资助项目的申请、评审、审核和发放工作。</w:t>
      </w:r>
    </w:p>
    <w:p>
      <w:pPr>
        <w:pStyle w:val="14"/>
        <w:spacing w:after="380" w:line="317" w:lineRule="exact"/>
        <w:ind w:firstLine="440"/>
        <w:jc w:val="both"/>
        <w:rPr>
          <w:color w:val="auto"/>
        </w:rPr>
      </w:pPr>
      <w:r>
        <w:rPr>
          <w:b/>
          <w:bCs/>
          <w:color w:val="auto"/>
        </w:rPr>
        <w:t>第二十六条</w:t>
      </w:r>
      <w:r>
        <w:rPr>
          <w:color w:val="auto"/>
        </w:rPr>
        <w:t>学生资助管理中心应按照资助程序认真开展资助工作，坚持公平、公正、公开的原则，坚持学院、学校二级公示制度。</w:t>
      </w:r>
    </w:p>
    <w:p>
      <w:pPr>
        <w:pStyle w:val="18"/>
        <w:keepNext/>
        <w:keepLines/>
        <w:spacing w:after="320"/>
        <w:rPr>
          <w:b/>
          <w:bCs/>
          <w:color w:val="auto"/>
        </w:rPr>
      </w:pPr>
      <w:bookmarkStart w:id="543" w:name="bookmark948"/>
      <w:bookmarkStart w:id="544" w:name="bookmark949"/>
      <w:bookmarkStart w:id="545" w:name="bookmark950"/>
      <w:r>
        <w:rPr>
          <w:b/>
          <w:bCs/>
          <w:color w:val="auto"/>
        </w:rPr>
        <w:t>第五章监督与管理</w:t>
      </w:r>
      <w:bookmarkEnd w:id="543"/>
      <w:bookmarkEnd w:id="544"/>
      <w:bookmarkEnd w:id="545"/>
    </w:p>
    <w:p>
      <w:pPr>
        <w:pStyle w:val="14"/>
        <w:spacing w:line="302" w:lineRule="exact"/>
        <w:ind w:firstLine="440"/>
        <w:jc w:val="both"/>
        <w:rPr>
          <w:color w:val="auto"/>
        </w:rPr>
      </w:pPr>
      <w:r>
        <w:rPr>
          <w:b/>
          <w:bCs/>
          <w:color w:val="auto"/>
        </w:rPr>
        <w:t>第二十七条</w:t>
      </w:r>
      <w:r>
        <w:rPr>
          <w:color w:val="auto"/>
        </w:rPr>
        <w:t>学校对资助资金的使用进行审计和监督检查，对挤占挪用、滥用、弄虚作假套取资助资金等违法违规行为，学校将追究责任、严肃处理。</w:t>
      </w:r>
    </w:p>
    <w:p>
      <w:pPr>
        <w:pStyle w:val="14"/>
        <w:spacing w:line="307" w:lineRule="exact"/>
        <w:ind w:firstLine="440"/>
        <w:jc w:val="both"/>
        <w:rPr>
          <w:color w:val="auto"/>
        </w:rPr>
      </w:pPr>
      <w:r>
        <w:rPr>
          <w:b/>
          <w:bCs/>
          <w:color w:val="auto"/>
        </w:rPr>
        <w:t>第二十八条</w:t>
      </w:r>
      <w:r>
        <w:rPr>
          <w:color w:val="auto"/>
        </w:rPr>
        <w:t>学生资助管理中心与各学院应加强对家庭经济困难学生的思想政治教育，尤其是感恩教育、诚信教育、社会责任感教育和心理健康教育，实现</w:t>
      </w:r>
      <w:r>
        <w:rPr>
          <w:color w:val="auto"/>
          <w:lang w:val="zh-CN" w:eastAsia="zh-CN" w:bidi="zh-CN"/>
        </w:rPr>
        <w:t>“资</w:t>
      </w:r>
      <w:r>
        <w:rPr>
          <w:color w:val="auto"/>
        </w:rPr>
        <w:t>助”与</w:t>
      </w:r>
      <w:r>
        <w:rPr>
          <w:color w:val="auto"/>
          <w:lang w:val="zh-CN" w:eastAsia="zh-CN" w:bidi="zh-CN"/>
        </w:rPr>
        <w:t>“育</w:t>
      </w:r>
      <w:r>
        <w:rPr>
          <w:color w:val="auto"/>
        </w:rPr>
        <w:t>人”的有机结合。</w:t>
      </w:r>
    </w:p>
    <w:p>
      <w:pPr>
        <w:pStyle w:val="14"/>
        <w:spacing w:after="380" w:line="307" w:lineRule="exact"/>
        <w:ind w:firstLine="440"/>
        <w:jc w:val="both"/>
        <w:rPr>
          <w:color w:val="auto"/>
        </w:rPr>
      </w:pPr>
      <w:r>
        <w:rPr>
          <w:b/>
          <w:bCs/>
          <w:color w:val="auto"/>
        </w:rPr>
        <w:t>第二十九条</w:t>
      </w:r>
      <w:r>
        <w:rPr>
          <w:color w:val="auto"/>
        </w:rPr>
        <w:t>学生资助管理中心与各学院对获得资助的家庭经济困难学生应进行跟踪调査，对弄虚作假者除没收其资助款外，还将给予行政处分、取消一切评优和各项资助评定等资格，并将不良记录记入个人诚信档案。</w:t>
      </w:r>
    </w:p>
    <w:p>
      <w:pPr>
        <w:pStyle w:val="18"/>
        <w:keepNext/>
        <w:keepLines/>
        <w:spacing w:after="320"/>
        <w:rPr>
          <w:b/>
          <w:bCs/>
          <w:color w:val="auto"/>
        </w:rPr>
      </w:pPr>
      <w:bookmarkStart w:id="546" w:name="bookmark952"/>
      <w:bookmarkStart w:id="547" w:name="bookmark951"/>
      <w:bookmarkStart w:id="548" w:name="bookmark953"/>
      <w:r>
        <w:rPr>
          <w:b/>
          <w:bCs/>
          <w:color w:val="auto"/>
        </w:rPr>
        <w:t>第六章附则</w:t>
      </w:r>
      <w:bookmarkEnd w:id="546"/>
      <w:bookmarkEnd w:id="547"/>
      <w:bookmarkEnd w:id="548"/>
    </w:p>
    <w:p>
      <w:pPr>
        <w:pStyle w:val="14"/>
        <w:spacing w:line="307" w:lineRule="exact"/>
        <w:ind w:firstLine="440"/>
        <w:jc w:val="both"/>
        <w:rPr>
          <w:color w:val="auto"/>
        </w:rPr>
      </w:pPr>
      <w:r>
        <w:rPr>
          <w:b/>
          <w:bCs/>
          <w:color w:val="auto"/>
        </w:rPr>
        <w:t>第三十条</w:t>
      </w:r>
      <w:r>
        <w:rPr>
          <w:color w:val="auto"/>
        </w:rPr>
        <w:t>本办法由学生工作处负责解释。</w:t>
      </w:r>
    </w:p>
    <w:p>
      <w:pPr>
        <w:pStyle w:val="14"/>
        <w:spacing w:after="340" w:line="307" w:lineRule="exact"/>
        <w:ind w:firstLine="440"/>
        <w:jc w:val="both"/>
        <w:rPr>
          <w:color w:val="auto"/>
        </w:rPr>
        <w:sectPr>
          <w:pgSz w:w="9800" w:h="15120"/>
          <w:pgMar w:top="1043" w:right="652" w:bottom="987" w:left="663" w:header="0" w:footer="3" w:gutter="0"/>
          <w:pgNumType w:fmt="decimal"/>
          <w:cols w:space="720" w:num="1"/>
          <w:docGrid w:linePitch="360" w:charSpace="0"/>
        </w:sectPr>
      </w:pPr>
      <w:r>
        <w:rPr>
          <w:b/>
          <w:bCs/>
          <w:color w:val="auto"/>
        </w:rPr>
        <w:t>第三十一条</w:t>
      </w:r>
      <w:r>
        <w:rPr>
          <w:color w:val="auto"/>
        </w:rPr>
        <w:t>本办法从公布之日起实施。</w:t>
      </w:r>
    </w:p>
    <w:p>
      <w:pPr>
        <w:pStyle w:val="12"/>
        <w:keepNext/>
        <w:keepLines/>
        <w:spacing w:before="0" w:after="140" w:line="240" w:lineRule="auto"/>
        <w:rPr>
          <w:rFonts w:hint="eastAsia" w:eastAsia="宋体"/>
          <w:color w:val="auto"/>
          <w:lang w:eastAsia="zh-CN"/>
        </w:rPr>
      </w:pPr>
      <w:bookmarkStart w:id="549" w:name="bookmark956"/>
      <w:r>
        <w:rPr>
          <w:color w:val="auto"/>
        </w:rPr>
        <w:t>南京航空航天大学金城学院</w:t>
      </w:r>
      <w:bookmarkEnd w:id="549"/>
      <w:bookmarkStart w:id="550" w:name="bookmark957"/>
      <w:bookmarkStart w:id="551" w:name="bookmark954"/>
      <w:bookmarkStart w:id="552" w:name="bookmark955"/>
    </w:p>
    <w:p>
      <w:pPr>
        <w:pStyle w:val="12"/>
        <w:keepNext/>
        <w:keepLines/>
        <w:spacing w:before="0" w:after="140" w:line="240" w:lineRule="auto"/>
        <w:rPr>
          <w:color w:val="auto"/>
        </w:rPr>
      </w:pPr>
      <w:r>
        <w:rPr>
          <w:color w:val="auto"/>
        </w:rPr>
        <w:t>学生参加城镇居民基本医疗保险实施管</w:t>
      </w:r>
      <w:r>
        <w:rPr>
          <w:rFonts w:hint="eastAsia"/>
          <w:color w:val="auto"/>
        </w:rPr>
        <w:t>理规</w:t>
      </w:r>
      <w:r>
        <w:rPr>
          <w:color w:val="auto"/>
        </w:rPr>
        <w:t>定</w:t>
      </w:r>
      <w:bookmarkEnd w:id="550"/>
      <w:bookmarkEnd w:id="551"/>
      <w:bookmarkEnd w:id="552"/>
    </w:p>
    <w:p>
      <w:pPr>
        <w:pStyle w:val="14"/>
        <w:spacing w:line="299" w:lineRule="exact"/>
        <w:ind w:firstLine="440"/>
        <w:jc w:val="both"/>
        <w:rPr>
          <w:color w:val="auto"/>
        </w:rPr>
      </w:pPr>
      <w:r>
        <w:rPr>
          <w:color w:val="auto"/>
        </w:rPr>
        <w:t>为切实做好我校大学生基本医疗保险工作，保障大学生的身体健康，减轻学生家庭负担</w:t>
      </w:r>
      <w:r>
        <w:rPr>
          <w:rFonts w:hint="eastAsia"/>
          <w:color w:val="auto"/>
        </w:rPr>
        <w:t>，</w:t>
      </w:r>
      <w:r>
        <w:rPr>
          <w:color w:val="auto"/>
        </w:rPr>
        <w:t>根据《江苏省政府办公厅关于将大学生纳入城镇居民基本医疗保险的实施意见》，苏政办发〔</w:t>
      </w:r>
      <w:r>
        <w:rPr>
          <w:rFonts w:ascii="Times New Roman" w:hAnsi="Times New Roman" w:eastAsia="Times New Roman" w:cs="Times New Roman"/>
          <w:color w:val="auto"/>
          <w:sz w:val="20"/>
          <w:szCs w:val="20"/>
        </w:rPr>
        <w:t>2009</w:t>
      </w:r>
      <w:r>
        <w:rPr>
          <w:color w:val="auto"/>
        </w:rPr>
        <w:t>〕</w:t>
      </w:r>
      <w:r>
        <w:rPr>
          <w:rFonts w:ascii="Times New Roman" w:hAnsi="Times New Roman" w:eastAsia="Times New Roman" w:cs="Times New Roman"/>
          <w:color w:val="auto"/>
          <w:sz w:val="20"/>
          <w:szCs w:val="20"/>
        </w:rPr>
        <w:t>46</w:t>
      </w:r>
      <w:r>
        <w:rPr>
          <w:color w:val="auto"/>
        </w:rPr>
        <w:t>号），省教育厅、省财政厅、省人力资源和社会保障厅、省民政厅印发的《江苏省大学生参加城镇居民基本医疗保险暂行办法》，苏教财〔</w:t>
      </w:r>
      <w:r>
        <w:rPr>
          <w:rFonts w:ascii="Times New Roman" w:hAnsi="Times New Roman" w:eastAsia="Times New Roman" w:cs="Times New Roman"/>
          <w:color w:val="auto"/>
          <w:sz w:val="20"/>
          <w:szCs w:val="20"/>
        </w:rPr>
        <w:t>2009</w:t>
      </w:r>
      <w:r>
        <w:rPr>
          <w:color w:val="auto"/>
        </w:rPr>
        <w:t>〕</w:t>
      </w:r>
      <w:r>
        <w:rPr>
          <w:rFonts w:ascii="Times New Roman" w:hAnsi="Times New Roman" w:eastAsia="Times New Roman" w:cs="Times New Roman"/>
          <w:color w:val="auto"/>
          <w:sz w:val="20"/>
          <w:szCs w:val="20"/>
        </w:rPr>
        <w:t>48</w:t>
      </w:r>
      <w:r>
        <w:rPr>
          <w:color w:val="auto"/>
        </w:rPr>
        <w:t>号），《南京市政府办公厅关于在宁高院大学生参加城镇居民基本医疗保险的实施意见》，宁政办发〔</w:t>
      </w:r>
      <w:r>
        <w:rPr>
          <w:rFonts w:ascii="Times New Roman" w:hAnsi="Times New Roman" w:eastAsia="Times New Roman" w:cs="Times New Roman"/>
          <w:color w:val="auto"/>
          <w:sz w:val="20"/>
          <w:szCs w:val="20"/>
        </w:rPr>
        <w:t>2009</w:t>
      </w:r>
      <w:r>
        <w:rPr>
          <w:color w:val="auto"/>
        </w:rPr>
        <w:t>〕</w:t>
      </w:r>
      <w:r>
        <w:rPr>
          <w:rFonts w:ascii="Times New Roman" w:hAnsi="Times New Roman" w:eastAsia="Times New Roman" w:cs="Times New Roman"/>
          <w:color w:val="auto"/>
          <w:sz w:val="20"/>
          <w:szCs w:val="20"/>
        </w:rPr>
        <w:t>145</w:t>
      </w:r>
      <w:r>
        <w:rPr>
          <w:color w:val="auto"/>
        </w:rPr>
        <w:t>号），结合我校实际，特制定本办法。</w:t>
      </w:r>
    </w:p>
    <w:p>
      <w:pPr>
        <w:pStyle w:val="14"/>
        <w:spacing w:line="299" w:lineRule="exact"/>
        <w:ind w:firstLine="440"/>
        <w:jc w:val="both"/>
        <w:rPr>
          <w:color w:val="auto"/>
        </w:rPr>
      </w:pPr>
      <w:r>
        <w:rPr>
          <w:b/>
          <w:bCs/>
          <w:color w:val="auto"/>
        </w:rPr>
        <w:t>第一条</w:t>
      </w:r>
      <w:r>
        <w:rPr>
          <w:color w:val="auto"/>
        </w:rPr>
        <w:t>参保范围</w:t>
      </w:r>
    </w:p>
    <w:p>
      <w:pPr>
        <w:pStyle w:val="14"/>
        <w:spacing w:line="310" w:lineRule="exact"/>
        <w:ind w:firstLine="440"/>
        <w:jc w:val="both"/>
        <w:rPr>
          <w:color w:val="auto"/>
        </w:rPr>
      </w:pPr>
      <w:r>
        <w:rPr>
          <w:color w:val="auto"/>
        </w:rPr>
        <w:t>我校各学院（部）接受普通高等学历教育的全日制本科生（以下统称</w:t>
      </w:r>
      <w:r>
        <w:rPr>
          <w:color w:val="auto"/>
          <w:lang w:val="zh-CN" w:eastAsia="zh-CN" w:bidi="zh-CN"/>
        </w:rPr>
        <w:t>“大</w:t>
      </w:r>
      <w:r>
        <w:rPr>
          <w:color w:val="auto"/>
        </w:rPr>
        <w:t>学生”），自</w:t>
      </w:r>
      <w:r>
        <w:rPr>
          <w:rFonts w:ascii="Times New Roman" w:hAnsi="Times New Roman" w:eastAsia="Times New Roman" w:cs="Times New Roman"/>
          <w:color w:val="auto"/>
          <w:sz w:val="20"/>
          <w:szCs w:val="20"/>
        </w:rPr>
        <w:t>2010</w:t>
      </w:r>
      <w:r>
        <w:rPr>
          <w:color w:val="auto"/>
        </w:rPr>
        <w:t>年</w:t>
      </w:r>
      <w:r>
        <w:rPr>
          <w:rFonts w:ascii="Times New Roman" w:hAnsi="Times New Roman" w:eastAsia="Times New Roman" w:cs="Times New Roman"/>
          <w:color w:val="auto"/>
          <w:sz w:val="20"/>
          <w:szCs w:val="20"/>
        </w:rPr>
        <w:t>9</w:t>
      </w:r>
      <w:r>
        <w:rPr>
          <w:color w:val="auto"/>
        </w:rPr>
        <w:t>月</w:t>
      </w:r>
      <w:r>
        <w:rPr>
          <w:rFonts w:ascii="Times New Roman" w:hAnsi="Times New Roman" w:eastAsia="Times New Roman" w:cs="Times New Roman"/>
          <w:color w:val="auto"/>
          <w:sz w:val="20"/>
          <w:szCs w:val="20"/>
        </w:rPr>
        <w:t>1</w:t>
      </w:r>
      <w:r>
        <w:rPr>
          <w:color w:val="auto"/>
        </w:rPr>
        <w:t>日起，统一纳入南京市城镇居民基本医疗保险范围（以下简称</w:t>
      </w:r>
      <w:r>
        <w:rPr>
          <w:color w:val="auto"/>
          <w:lang w:val="zh-CN" w:eastAsia="zh-CN" w:bidi="zh-CN"/>
        </w:rPr>
        <w:t>“居民</w:t>
      </w:r>
      <w:r>
        <w:rPr>
          <w:color w:val="auto"/>
        </w:rPr>
        <w:t>医保”）。</w:t>
      </w:r>
    </w:p>
    <w:p>
      <w:pPr>
        <w:pStyle w:val="14"/>
        <w:spacing w:line="310" w:lineRule="exact"/>
        <w:ind w:firstLine="440"/>
        <w:jc w:val="both"/>
        <w:rPr>
          <w:color w:val="auto"/>
        </w:rPr>
      </w:pPr>
      <w:r>
        <w:rPr>
          <w:b/>
          <w:bCs/>
          <w:color w:val="auto"/>
        </w:rPr>
        <w:t>第二条</w:t>
      </w:r>
      <w:r>
        <w:rPr>
          <w:color w:val="auto"/>
        </w:rPr>
        <w:t>参保程序</w:t>
      </w:r>
    </w:p>
    <w:p>
      <w:pPr>
        <w:pStyle w:val="14"/>
        <w:spacing w:line="310" w:lineRule="exact"/>
        <w:ind w:firstLine="440"/>
        <w:jc w:val="both"/>
        <w:rPr>
          <w:color w:val="auto"/>
          <w:lang w:val="en-US" w:eastAsia="zh-CN"/>
        </w:rPr>
      </w:pPr>
      <w:r>
        <w:rPr>
          <w:color w:val="auto"/>
        </w:rPr>
        <w:t>每年</w:t>
      </w:r>
      <w:r>
        <w:rPr>
          <w:rFonts w:hint="eastAsia" w:ascii="Times New Roman" w:hAnsi="Times New Roman" w:cs="Times New Roman"/>
          <w:color w:val="auto"/>
          <w:sz w:val="20"/>
          <w:szCs w:val="20"/>
          <w:lang w:val="en-US" w:eastAsia="zh-CN"/>
        </w:rPr>
        <w:t>10</w:t>
      </w:r>
      <w:r>
        <w:rPr>
          <w:color w:val="auto"/>
        </w:rPr>
        <w:t>月</w:t>
      </w:r>
      <w:r>
        <w:rPr>
          <w:rFonts w:hint="eastAsia" w:ascii="Times New Roman" w:hAnsi="Times New Roman" w:cs="Times New Roman"/>
          <w:color w:val="auto"/>
          <w:sz w:val="20"/>
          <w:szCs w:val="20"/>
          <w:lang w:val="en-US" w:eastAsia="zh-CN"/>
        </w:rPr>
        <w:t>10</w:t>
      </w:r>
      <w:r>
        <w:rPr>
          <w:color w:val="auto"/>
        </w:rPr>
        <w:t>日前，由学生工作处</w:t>
      </w:r>
      <w:r>
        <w:rPr>
          <w:rFonts w:hint="eastAsia"/>
          <w:color w:val="auto"/>
          <w:lang w:eastAsia="zh-CN"/>
        </w:rPr>
        <w:t>、</w:t>
      </w:r>
      <w:r>
        <w:rPr>
          <w:rFonts w:hint="eastAsia"/>
          <w:color w:val="auto"/>
          <w:lang w:val="en-US" w:eastAsia="zh-CN"/>
        </w:rPr>
        <w:t>教学科研处</w:t>
      </w:r>
      <w:r>
        <w:rPr>
          <w:color w:val="auto"/>
        </w:rPr>
        <w:t>负责参保学生的信息采集和登记造册，财务处统一</w:t>
      </w:r>
      <w:r>
        <w:rPr>
          <w:rFonts w:hint="eastAsia"/>
          <w:color w:val="auto"/>
          <w:lang w:val="en-US" w:eastAsia="zh-CN"/>
        </w:rPr>
        <w:t>在学生入学时</w:t>
      </w:r>
      <w:r>
        <w:rPr>
          <w:color w:val="auto"/>
        </w:rPr>
        <w:t>代收代缴大学生个人</w:t>
      </w:r>
      <w:r>
        <w:rPr>
          <w:rFonts w:hint="eastAsia"/>
          <w:color w:val="auto"/>
        </w:rPr>
        <w:t>参保</w:t>
      </w:r>
      <w:r>
        <w:rPr>
          <w:color w:val="auto"/>
        </w:rPr>
        <w:t>费用</w:t>
      </w:r>
      <w:r>
        <w:rPr>
          <w:rFonts w:hint="eastAsia"/>
          <w:color w:val="auto"/>
        </w:rPr>
        <w:t>；</w:t>
      </w:r>
      <w:r>
        <w:rPr>
          <w:rFonts w:hint="eastAsia"/>
          <w:color w:val="auto"/>
          <w:lang w:val="en-US" w:eastAsia="zh-CN"/>
        </w:rPr>
        <w:t>学校按学制一次性办理参保手续。</w:t>
      </w:r>
    </w:p>
    <w:p>
      <w:pPr>
        <w:pStyle w:val="14"/>
        <w:spacing w:line="310" w:lineRule="exact"/>
        <w:ind w:firstLine="440"/>
        <w:jc w:val="both"/>
        <w:rPr>
          <w:color w:val="auto"/>
        </w:rPr>
      </w:pPr>
      <w:r>
        <w:rPr>
          <w:color w:val="auto"/>
        </w:rPr>
        <w:t>学生在每年10月15日后入学、转学或退学的，由学生</w:t>
      </w:r>
      <w:r>
        <w:rPr>
          <w:rFonts w:hint="eastAsia"/>
          <w:color w:val="auto"/>
          <w:lang w:val="en-US" w:eastAsia="zh-CN"/>
        </w:rPr>
        <w:t>本人提出续保或退保，由学生</w:t>
      </w:r>
      <w:r>
        <w:rPr>
          <w:color w:val="auto"/>
        </w:rPr>
        <w:t>工作处</w:t>
      </w:r>
      <w:r>
        <w:rPr>
          <w:rFonts w:hint="eastAsia"/>
          <w:color w:val="auto"/>
          <w:lang w:eastAsia="zh-CN"/>
        </w:rPr>
        <w:t>、</w:t>
      </w:r>
      <w:r>
        <w:rPr>
          <w:rFonts w:hint="eastAsia"/>
          <w:color w:val="auto"/>
          <w:lang w:val="en-US" w:eastAsia="zh-CN"/>
        </w:rPr>
        <w:t>教学科研处</w:t>
      </w:r>
      <w:r>
        <w:rPr>
          <w:color w:val="auto"/>
        </w:rPr>
        <w:t>主动配合居民医保办公室适时到南京市居民医保经办机构为其办理补充登记或注销登记手续。大学生参保后发生转学、退学或其他终止学籍情形的，所缴纳的医疗保险费不予退费。参保大学生退学或因病办理休学的，可继续享受当期医疗保险待遇直到保障期结束。</w:t>
      </w:r>
    </w:p>
    <w:p>
      <w:pPr>
        <w:pStyle w:val="14"/>
        <w:spacing w:line="302" w:lineRule="exact"/>
        <w:ind w:firstLine="440"/>
        <w:jc w:val="both"/>
        <w:rPr>
          <w:color w:val="auto"/>
        </w:rPr>
      </w:pPr>
      <w:r>
        <w:rPr>
          <w:b/>
          <w:bCs/>
          <w:color w:val="auto"/>
        </w:rPr>
        <w:t>第三条</w:t>
      </w:r>
      <w:r>
        <w:rPr>
          <w:color w:val="auto"/>
        </w:rPr>
        <w:t>低保家庭学生身份认定及家庭困难学生资助</w:t>
      </w:r>
    </w:p>
    <w:p>
      <w:pPr>
        <w:pStyle w:val="14"/>
        <w:spacing w:line="302" w:lineRule="exact"/>
        <w:ind w:firstLine="440"/>
        <w:jc w:val="both"/>
        <w:rPr>
          <w:color w:val="auto"/>
        </w:rPr>
      </w:pPr>
      <w:r>
        <w:rPr>
          <w:color w:val="auto"/>
        </w:rPr>
        <w:t>低保家庭大学生参加南京市居民医保个人缴费部分，由省财政拨付。身份认定由学生工作处负责。需要政府提供资助参保的低保家庭大学生，在入学报到时应向学校提供原户籍地居民户口簿、本人身份证、最低生活保障证的复印件和原户籍地县级民政部门出据的相关证明。</w:t>
      </w:r>
    </w:p>
    <w:p>
      <w:pPr>
        <w:pStyle w:val="14"/>
        <w:spacing w:line="302" w:lineRule="exact"/>
        <w:ind w:firstLine="440"/>
        <w:jc w:val="both"/>
        <w:rPr>
          <w:color w:val="auto"/>
        </w:rPr>
      </w:pPr>
      <w:r>
        <w:rPr>
          <w:color w:val="auto"/>
        </w:rPr>
        <w:t>已参加居民医保的在校低保家庭大学生，每年需向学校提供相关证明材料，由学校有关部门按规定重新予以认定。</w:t>
      </w:r>
    </w:p>
    <w:p>
      <w:pPr>
        <w:pStyle w:val="14"/>
        <w:spacing w:line="302" w:lineRule="exact"/>
        <w:ind w:firstLine="440"/>
        <w:jc w:val="both"/>
        <w:rPr>
          <w:color w:val="auto"/>
        </w:rPr>
      </w:pPr>
      <w:r>
        <w:rPr>
          <w:b/>
          <w:bCs/>
          <w:color w:val="auto"/>
        </w:rPr>
        <w:t>第四条</w:t>
      </w:r>
      <w:r>
        <w:rPr>
          <w:color w:val="auto"/>
        </w:rPr>
        <w:t>保障方式及待遇水平</w:t>
      </w:r>
    </w:p>
    <w:p>
      <w:pPr>
        <w:pStyle w:val="14"/>
        <w:spacing w:line="302" w:lineRule="exact"/>
        <w:ind w:firstLine="440"/>
        <w:jc w:val="both"/>
        <w:rPr>
          <w:color w:val="auto"/>
        </w:rPr>
      </w:pPr>
      <w:r>
        <w:rPr>
          <w:color w:val="auto"/>
        </w:rPr>
        <w:t>大学生参加居民医保，保障期为一个学年，自每年</w:t>
      </w:r>
      <w:r>
        <w:rPr>
          <w:rFonts w:ascii="Times New Roman" w:hAnsi="Times New Roman" w:eastAsia="Times New Roman" w:cs="Times New Roman"/>
          <w:color w:val="auto"/>
          <w:sz w:val="20"/>
          <w:szCs w:val="20"/>
        </w:rPr>
        <w:t>9</w:t>
      </w:r>
      <w:r>
        <w:rPr>
          <w:color w:val="auto"/>
        </w:rPr>
        <w:t>月</w:t>
      </w:r>
      <w:r>
        <w:rPr>
          <w:rFonts w:ascii="Times New Roman" w:hAnsi="Times New Roman" w:eastAsia="Times New Roman" w:cs="Times New Roman"/>
          <w:color w:val="auto"/>
          <w:sz w:val="20"/>
          <w:szCs w:val="20"/>
        </w:rPr>
        <w:t>1</w:t>
      </w:r>
      <w:r>
        <w:rPr>
          <w:color w:val="auto"/>
        </w:rPr>
        <w:t>日至次年</w:t>
      </w:r>
      <w:r>
        <w:rPr>
          <w:rFonts w:ascii="Times New Roman" w:hAnsi="Times New Roman" w:eastAsia="Times New Roman" w:cs="Times New Roman"/>
          <w:color w:val="auto"/>
          <w:sz w:val="20"/>
          <w:szCs w:val="20"/>
        </w:rPr>
        <w:t>8</w:t>
      </w:r>
      <w:r>
        <w:rPr>
          <w:color w:val="auto"/>
        </w:rPr>
        <w:t>月</w:t>
      </w:r>
      <w:r>
        <w:rPr>
          <w:rFonts w:ascii="Times New Roman" w:hAnsi="Times New Roman" w:eastAsia="Times New Roman" w:cs="Times New Roman"/>
          <w:color w:val="auto"/>
          <w:sz w:val="20"/>
          <w:szCs w:val="20"/>
        </w:rPr>
        <w:t>31</w:t>
      </w:r>
      <w:r>
        <w:rPr>
          <w:color w:val="auto"/>
        </w:rPr>
        <w:t>日。保障范围和保障待遇参照当年南京市大学生医保政策。</w:t>
      </w:r>
    </w:p>
    <w:p>
      <w:pPr>
        <w:pStyle w:val="14"/>
        <w:spacing w:line="302" w:lineRule="exact"/>
        <w:ind w:firstLine="440"/>
        <w:jc w:val="both"/>
        <w:rPr>
          <w:color w:val="auto"/>
        </w:rPr>
      </w:pPr>
      <w:r>
        <w:rPr>
          <w:b/>
          <w:bCs/>
          <w:color w:val="auto"/>
        </w:rPr>
        <w:t>第五条</w:t>
      </w:r>
      <w:r>
        <w:rPr>
          <w:color w:val="auto"/>
        </w:rPr>
        <w:t>就诊及转诊</w:t>
      </w:r>
    </w:p>
    <w:p>
      <w:pPr>
        <w:pStyle w:val="14"/>
        <w:spacing w:line="302" w:lineRule="exact"/>
        <w:ind w:firstLine="440"/>
        <w:jc w:val="both"/>
        <w:rPr>
          <w:color w:val="auto"/>
        </w:rPr>
      </w:pPr>
      <w:r>
        <w:rPr>
          <w:color w:val="auto"/>
        </w:rPr>
        <w:t>大学生参保后</w:t>
      </w:r>
      <w:r>
        <w:rPr>
          <w:rFonts w:hint="eastAsia"/>
          <w:color w:val="auto"/>
          <w:lang w:val="en-US" w:eastAsia="zh-CN"/>
        </w:rPr>
        <w:t>可在校内医务室、校外任意一家医院就诊。如有门诊大病学生</w:t>
      </w:r>
      <w:r>
        <w:rPr>
          <w:color w:val="auto"/>
        </w:rPr>
        <w:t>可选择一家具备门诊大病定点资质的医疗机构，作为本人门诊大病就医的定点医疗机构。参保大学生需携带《</w:t>
      </w:r>
      <w:r>
        <w:rPr>
          <w:rFonts w:hint="eastAsia"/>
          <w:color w:val="auto"/>
          <w:lang w:val="en-US" w:eastAsia="zh-CN"/>
        </w:rPr>
        <w:t>江苏</w:t>
      </w:r>
      <w:r>
        <w:rPr>
          <w:color w:val="auto"/>
        </w:rPr>
        <w:t>南京</w:t>
      </w:r>
      <w:r>
        <w:rPr>
          <w:rFonts w:hint="eastAsia"/>
          <w:color w:val="auto"/>
          <w:lang w:val="en-US" w:eastAsia="zh-CN"/>
        </w:rPr>
        <w:t>一卡通</w:t>
      </w:r>
      <w:r>
        <w:rPr>
          <w:color w:val="auto"/>
        </w:rPr>
        <w:t>》和《门诊大病证》到定点医疗机构就诊。</w:t>
      </w:r>
    </w:p>
    <w:p>
      <w:pPr>
        <w:pStyle w:val="14"/>
        <w:spacing w:line="302" w:lineRule="exact"/>
        <w:ind w:firstLine="440"/>
        <w:jc w:val="both"/>
        <w:rPr>
          <w:color w:val="auto"/>
        </w:rPr>
      </w:pPr>
      <w:r>
        <w:rPr>
          <w:color w:val="auto"/>
        </w:rPr>
        <w:t>大学生寒、暑假期间，因急诊住院可就近在当地就医，发生的住院费用先由个人垫付。出院后将《</w:t>
      </w:r>
      <w:r>
        <w:rPr>
          <w:rFonts w:hint="eastAsia"/>
          <w:color w:val="auto"/>
          <w:lang w:val="en-US" w:eastAsia="zh-CN"/>
        </w:rPr>
        <w:t>江苏</w:t>
      </w:r>
      <w:r>
        <w:rPr>
          <w:color w:val="auto"/>
        </w:rPr>
        <w:t>南京</w:t>
      </w:r>
      <w:r>
        <w:rPr>
          <w:rFonts w:hint="eastAsia"/>
          <w:color w:val="auto"/>
          <w:lang w:val="en-US" w:eastAsia="zh-CN"/>
        </w:rPr>
        <w:t>一卡通</w:t>
      </w:r>
      <w:r>
        <w:rPr>
          <w:color w:val="auto"/>
        </w:rPr>
        <w:t>》</w:t>
      </w:r>
      <w:r>
        <w:rPr>
          <w:rFonts w:hint="eastAsia"/>
          <w:color w:val="auto"/>
          <w:lang w:val="en-US" w:eastAsia="zh-CN"/>
        </w:rPr>
        <w:t>及身份证复印件</w:t>
      </w:r>
      <w:r>
        <w:rPr>
          <w:rFonts w:hint="eastAsia"/>
          <w:color w:val="auto"/>
          <w:lang w:eastAsia="zh-CN"/>
        </w:rPr>
        <w:t>，</w:t>
      </w:r>
      <w:r>
        <w:rPr>
          <w:color w:val="auto"/>
        </w:rPr>
        <w:t>住院发票、费用明细、出院小结等</w:t>
      </w:r>
      <w:r>
        <w:rPr>
          <w:rFonts w:hint="eastAsia"/>
          <w:color w:val="auto"/>
          <w:lang w:val="en-US" w:eastAsia="zh-CN"/>
        </w:rPr>
        <w:t>原件，不在南京或非生源地住院就诊的还需转诊证明一份，所有</w:t>
      </w:r>
      <w:r>
        <w:rPr>
          <w:color w:val="auto"/>
        </w:rPr>
        <w:t>材料统一交至学校，由学校统一报市大学生医疗保险经办机构按规定办理审核报销。</w:t>
      </w:r>
    </w:p>
    <w:p>
      <w:pPr>
        <w:pStyle w:val="14"/>
        <w:spacing w:line="305" w:lineRule="exact"/>
        <w:ind w:firstLine="420"/>
        <w:rPr>
          <w:color w:val="auto"/>
        </w:rPr>
      </w:pPr>
      <w:r>
        <w:rPr>
          <w:b/>
          <w:bCs/>
          <w:color w:val="auto"/>
        </w:rPr>
        <w:t>第六条</w:t>
      </w:r>
      <w:r>
        <w:rPr>
          <w:color w:val="auto"/>
        </w:rPr>
        <w:t>其他</w:t>
      </w:r>
    </w:p>
    <w:p>
      <w:pPr>
        <w:pStyle w:val="14"/>
        <w:spacing w:line="305" w:lineRule="exact"/>
        <w:ind w:firstLine="420"/>
        <w:rPr>
          <w:color w:val="auto"/>
        </w:rPr>
      </w:pPr>
      <w:r>
        <w:rPr>
          <w:color w:val="auto"/>
        </w:rPr>
        <w:t>本办法将根据国家、省、市有关大学生基本医疗保险的相关政策及我校实际情况实时调整。</w:t>
      </w:r>
    </w:p>
    <w:p>
      <w:pPr>
        <w:pStyle w:val="14"/>
        <w:spacing w:line="305" w:lineRule="exact"/>
        <w:ind w:firstLine="420"/>
        <w:rPr>
          <w:color w:val="auto"/>
        </w:rPr>
      </w:pPr>
      <w:r>
        <w:rPr>
          <w:color w:val="auto"/>
        </w:rPr>
        <w:t>本办法如有与国家、省、市有关大学生基本医疗保险的相关规定不一致的，以国家、省、市规定为准。</w:t>
      </w:r>
    </w:p>
    <w:p>
      <w:pPr>
        <w:pStyle w:val="14"/>
        <w:spacing w:line="305" w:lineRule="exact"/>
        <w:ind w:firstLine="420"/>
        <w:rPr>
          <w:color w:val="auto"/>
        </w:rPr>
        <w:sectPr>
          <w:pgSz w:w="9800" w:h="15120"/>
          <w:pgMar w:top="1043" w:right="652" w:bottom="987" w:left="663" w:header="0" w:footer="3" w:gutter="0"/>
          <w:pgNumType w:fmt="decimal"/>
          <w:cols w:space="720" w:num="1"/>
          <w:docGrid w:linePitch="360" w:charSpace="0"/>
        </w:sectPr>
      </w:pPr>
      <w:r>
        <w:rPr>
          <w:color w:val="auto"/>
        </w:rPr>
        <w:t>本办法由学校大学生基本医疗保险工作办公室负责解释。</w:t>
      </w:r>
    </w:p>
    <w:p>
      <w:pPr>
        <w:spacing w:line="1" w:lineRule="exact"/>
        <w:rPr>
          <w:rFonts w:eastAsiaTheme="minorEastAsia"/>
          <w:color w:val="auto"/>
          <w:lang w:eastAsia="zh-CN"/>
        </w:rPr>
        <w:sectPr>
          <w:headerReference r:id="rId52" w:type="default"/>
          <w:footerReference r:id="rId54" w:type="default"/>
          <w:headerReference r:id="rId53" w:type="even"/>
          <w:footerReference r:id="rId55" w:type="even"/>
          <w:pgSz w:w="9800" w:h="15120"/>
          <w:pgMar w:top="1043" w:right="652" w:bottom="987" w:left="663" w:header="0" w:footer="3" w:gutter="0"/>
          <w:pgNumType w:fmt="decimal"/>
          <w:cols w:space="720" w:num="1"/>
          <w:docGrid w:linePitch="360" w:charSpace="0"/>
        </w:sectPr>
      </w:pPr>
    </w:p>
    <w:p>
      <w:pPr>
        <w:pStyle w:val="12"/>
        <w:keepNext/>
        <w:keepLines/>
        <w:spacing w:before="0" w:after="460" w:line="586" w:lineRule="exact"/>
        <w:rPr>
          <w:b/>
          <w:bCs/>
          <w:color w:val="auto"/>
          <w:highlight w:val="none"/>
        </w:rPr>
      </w:pPr>
      <w:bookmarkStart w:id="553" w:name="bookmark959"/>
      <w:bookmarkStart w:id="554" w:name="bookmark958"/>
      <w:bookmarkStart w:id="555" w:name="bookmark960"/>
      <w:bookmarkStart w:id="556" w:name="bookmark963"/>
      <w:bookmarkStart w:id="557" w:name="bookmark962"/>
      <w:bookmarkStart w:id="558" w:name="bookmark961"/>
      <w:r>
        <w:rPr>
          <w:b/>
          <w:bCs/>
          <w:color w:val="auto"/>
          <w:highlight w:val="none"/>
        </w:rPr>
        <w:t>南京航空航天大学金城学院</w:t>
      </w:r>
      <w:r>
        <w:rPr>
          <w:b/>
          <w:bCs/>
          <w:color w:val="auto"/>
          <w:highlight w:val="none"/>
        </w:rPr>
        <w:br w:type="textWrapping"/>
      </w:r>
      <w:r>
        <w:rPr>
          <w:b/>
          <w:bCs/>
          <w:color w:val="auto"/>
          <w:highlight w:val="none"/>
        </w:rPr>
        <w:t>图书馆管理规则</w:t>
      </w:r>
      <w:bookmarkEnd w:id="553"/>
      <w:bookmarkEnd w:id="554"/>
      <w:bookmarkEnd w:id="555"/>
    </w:p>
    <w:p>
      <w:pPr>
        <w:pStyle w:val="18"/>
        <w:keepNext/>
        <w:keepLines/>
        <w:spacing w:after="320"/>
        <w:rPr>
          <w:b/>
          <w:bCs/>
          <w:color w:val="auto"/>
        </w:rPr>
      </w:pPr>
      <w:r>
        <w:rPr>
          <w:b/>
          <w:bCs/>
          <w:color w:val="auto"/>
        </w:rPr>
        <w:t>读者入馆须知</w:t>
      </w:r>
      <w:bookmarkEnd w:id="556"/>
      <w:bookmarkEnd w:id="557"/>
      <w:bookmarkEnd w:id="558"/>
    </w:p>
    <w:p>
      <w:pPr>
        <w:pStyle w:val="14"/>
        <w:spacing w:line="303" w:lineRule="exact"/>
        <w:ind w:firstLine="420"/>
        <w:jc w:val="both"/>
        <w:rPr>
          <w:color w:val="auto"/>
        </w:rPr>
      </w:pPr>
      <w:bookmarkStart w:id="559" w:name="bookmark964"/>
      <w:r>
        <w:rPr>
          <w:i/>
          <w:iCs/>
          <w:color w:val="auto"/>
        </w:rPr>
        <w:t>一</w:t>
      </w:r>
      <w:bookmarkEnd w:id="559"/>
      <w:r>
        <w:rPr>
          <w:i/>
          <w:iCs/>
          <w:color w:val="auto"/>
        </w:rPr>
        <w:t>、</w:t>
      </w:r>
      <w:r>
        <w:rPr>
          <w:color w:val="auto"/>
        </w:rPr>
        <w:t>校内读者凭校园卡入馆</w:t>
      </w:r>
      <w:r>
        <w:rPr>
          <w:rFonts w:hint="eastAsia"/>
          <w:color w:val="auto"/>
        </w:rPr>
        <w:t>；</w:t>
      </w:r>
      <w:r>
        <w:rPr>
          <w:color w:val="auto"/>
        </w:rPr>
        <w:t>来访者必须凭介绍信或本人有效证件与图书馆办公室联系，由图书馆安排专人接待陪同后方可入馆。</w:t>
      </w:r>
    </w:p>
    <w:p>
      <w:pPr>
        <w:pStyle w:val="14"/>
        <w:spacing w:line="303" w:lineRule="exact"/>
        <w:ind w:firstLine="420"/>
        <w:jc w:val="both"/>
        <w:rPr>
          <w:color w:val="auto"/>
        </w:rPr>
      </w:pPr>
      <w:bookmarkStart w:id="560" w:name="bookmark965"/>
      <w:r>
        <w:rPr>
          <w:color w:val="auto"/>
        </w:rPr>
        <w:t>二</w:t>
      </w:r>
      <w:bookmarkEnd w:id="560"/>
      <w:r>
        <w:rPr>
          <w:color w:val="auto"/>
        </w:rPr>
        <w:t>、讲究文明礼貌，注意仪容仪表，勿穿着背心、拖鞋入馆，勿在馆内有不文明言谈举止。</w:t>
      </w:r>
    </w:p>
    <w:p>
      <w:pPr>
        <w:pStyle w:val="14"/>
        <w:spacing w:line="303" w:lineRule="exact"/>
        <w:ind w:firstLine="420"/>
        <w:jc w:val="both"/>
        <w:rPr>
          <w:color w:val="auto"/>
        </w:rPr>
      </w:pPr>
      <w:bookmarkStart w:id="561" w:name="bookmark966"/>
      <w:r>
        <w:rPr>
          <w:color w:val="auto"/>
        </w:rPr>
        <w:t>三</w:t>
      </w:r>
      <w:bookmarkEnd w:id="561"/>
      <w:r>
        <w:rPr>
          <w:color w:val="auto"/>
        </w:rPr>
        <w:t>、图书馆是重点防火单位，严禁携带易燃易爆物品入馆，严禁在馆内任何地方吸烟、使用明火。</w:t>
      </w:r>
    </w:p>
    <w:p>
      <w:pPr>
        <w:pStyle w:val="14"/>
        <w:spacing w:line="303" w:lineRule="exact"/>
        <w:ind w:firstLine="420"/>
        <w:jc w:val="both"/>
        <w:rPr>
          <w:color w:val="auto"/>
        </w:rPr>
      </w:pPr>
      <w:bookmarkStart w:id="562" w:name="bookmark967"/>
      <w:r>
        <w:rPr>
          <w:color w:val="auto"/>
        </w:rPr>
        <w:t>四</w:t>
      </w:r>
      <w:bookmarkEnd w:id="562"/>
      <w:r>
        <w:rPr>
          <w:color w:val="auto"/>
        </w:rPr>
        <w:t>、请勿将食品、饮料带入馆内。随身携带的贵重物品自己注意保管，如有遗失，责任自负。</w:t>
      </w:r>
    </w:p>
    <w:p>
      <w:pPr>
        <w:pStyle w:val="14"/>
        <w:spacing w:line="303" w:lineRule="exact"/>
        <w:ind w:firstLine="420"/>
        <w:jc w:val="both"/>
        <w:rPr>
          <w:color w:val="auto"/>
        </w:rPr>
      </w:pPr>
      <w:bookmarkStart w:id="563" w:name="bookmark968"/>
      <w:r>
        <w:rPr>
          <w:color w:val="auto"/>
        </w:rPr>
        <w:t>五</w:t>
      </w:r>
      <w:bookmarkEnd w:id="563"/>
      <w:r>
        <w:rPr>
          <w:color w:val="auto"/>
        </w:rPr>
        <w:t>、爱护环境卫生、严禁随地吐痰、乱扔果皮、纸屑、杂物，不在公共物上乱涂乱画。</w:t>
      </w:r>
    </w:p>
    <w:p>
      <w:pPr>
        <w:pStyle w:val="14"/>
        <w:spacing w:line="303" w:lineRule="exact"/>
        <w:ind w:firstLine="420"/>
        <w:jc w:val="both"/>
        <w:rPr>
          <w:color w:val="auto"/>
        </w:rPr>
      </w:pPr>
      <w:bookmarkStart w:id="564" w:name="bookmark969"/>
      <w:r>
        <w:rPr>
          <w:color w:val="auto"/>
        </w:rPr>
        <w:drawing>
          <wp:anchor distT="0" distB="0" distL="114300" distR="114300" simplePos="0" relativeHeight="251681792" behindDoc="0" locked="0" layoutInCell="1" allowOverlap="1">
            <wp:simplePos x="0" y="0"/>
            <wp:positionH relativeFrom="page">
              <wp:posOffset>4622165</wp:posOffset>
            </wp:positionH>
            <wp:positionV relativeFrom="paragraph">
              <wp:posOffset>198755</wp:posOffset>
            </wp:positionV>
            <wp:extent cx="1096645" cy="1028700"/>
            <wp:effectExtent l="0" t="0" r="8255" b="0"/>
            <wp:wrapSquare wrapText="left"/>
            <wp:docPr id="93" name="Shape 93"/>
            <wp:cNvGraphicFramePr/>
            <a:graphic xmlns:a="http://schemas.openxmlformats.org/drawingml/2006/main">
              <a:graphicData uri="http://schemas.openxmlformats.org/drawingml/2006/picture">
                <pic:pic xmlns:pic="http://schemas.openxmlformats.org/drawingml/2006/picture">
                  <pic:nvPicPr>
                    <pic:cNvPr id="93" name="Shape 93"/>
                    <pic:cNvPicPr/>
                  </pic:nvPicPr>
                  <pic:blipFill>
                    <a:blip r:embed="rId89"/>
                    <a:stretch>
                      <a:fillRect/>
                    </a:stretch>
                  </pic:blipFill>
                  <pic:spPr>
                    <a:xfrm>
                      <a:off x="0" y="0"/>
                      <a:ext cx="1096645" cy="1028700"/>
                    </a:xfrm>
                    <a:prstGeom prst="rect">
                      <a:avLst/>
                    </a:prstGeom>
                  </pic:spPr>
                </pic:pic>
              </a:graphicData>
            </a:graphic>
          </wp:anchor>
        </w:drawing>
      </w:r>
      <w:r>
        <w:rPr>
          <w:color w:val="auto"/>
        </w:rPr>
        <w:t>六</w:t>
      </w:r>
      <w:bookmarkEnd w:id="564"/>
      <w:r>
        <w:rPr>
          <w:color w:val="auto"/>
        </w:rPr>
        <w:t>、保持馆内安静，严禁大声喧哗，使用移动电话请放置在振动状态，接听时请在室外以免影响他人阅览。</w:t>
      </w:r>
    </w:p>
    <w:p>
      <w:pPr>
        <w:pStyle w:val="14"/>
        <w:spacing w:line="303" w:lineRule="exact"/>
        <w:ind w:firstLine="420"/>
        <w:jc w:val="both"/>
        <w:rPr>
          <w:color w:val="auto"/>
        </w:rPr>
      </w:pPr>
      <w:bookmarkStart w:id="565" w:name="bookmark970"/>
      <w:r>
        <w:rPr>
          <w:color w:val="auto"/>
        </w:rPr>
        <w:t>七</w:t>
      </w:r>
      <w:bookmarkEnd w:id="565"/>
      <w:r>
        <w:rPr>
          <w:color w:val="auto"/>
        </w:rPr>
        <w:t>、爱护馆内书刊资料及其设施，不得损坏和随意拆卸。</w:t>
      </w:r>
    </w:p>
    <w:p>
      <w:pPr>
        <w:pStyle w:val="14"/>
        <w:spacing w:after="60" w:line="303" w:lineRule="exact"/>
        <w:ind w:firstLine="420"/>
        <w:jc w:val="both"/>
        <w:rPr>
          <w:color w:val="auto"/>
        </w:rPr>
      </w:pPr>
      <w:bookmarkStart w:id="566" w:name="bookmark971"/>
      <w:r>
        <w:rPr>
          <w:color w:val="auto"/>
        </w:rPr>
        <w:t>八</w:t>
      </w:r>
      <w:bookmarkEnd w:id="566"/>
      <w:r>
        <w:rPr>
          <w:color w:val="auto"/>
        </w:rPr>
        <w:t>、读者借阅书刊资料凭本人校园卡在二楼大厅借书处办理借阅手续，未办理借阅手续不得擅自将书刊资料带出馆外，违者按</w:t>
      </w:r>
      <w:r>
        <w:rPr>
          <w:color w:val="auto"/>
          <w:lang w:val="zh-CN" w:eastAsia="zh-CN" w:bidi="zh-CN"/>
        </w:rPr>
        <w:t>（南</w:t>
      </w:r>
      <w:r>
        <w:rPr>
          <w:color w:val="auto"/>
        </w:rPr>
        <w:t>京航空航天大学金城学院图书馆违章处理规定》</w:t>
      </w:r>
      <w:r>
        <w:rPr>
          <w:color w:val="auto"/>
          <w:lang w:val="zh-CN" w:eastAsia="zh-CN" w:bidi="zh-CN"/>
        </w:rPr>
        <w:t>执行。</w:t>
      </w:r>
    </w:p>
    <w:p>
      <w:pPr>
        <w:pStyle w:val="28"/>
        <w:spacing w:after="0" w:line="240" w:lineRule="auto"/>
        <w:ind w:firstLine="420"/>
        <w:jc w:val="both"/>
        <w:rPr>
          <w:color w:val="auto"/>
        </w:rPr>
      </w:pPr>
      <w:bookmarkStart w:id="567" w:name="bookmark972"/>
      <w:r>
        <w:rPr>
          <w:rFonts w:ascii="宋体" w:hAnsi="宋体"/>
          <w:color w:val="auto"/>
          <w:sz w:val="18"/>
          <w:szCs w:val="18"/>
        </w:rPr>
        <w:t>九</w:t>
      </w:r>
      <w:bookmarkEnd w:id="567"/>
      <w:r>
        <w:rPr>
          <w:color w:val="auto"/>
        </w:rPr>
        <w:t>、图书馆微信公众号二维码</w:t>
      </w:r>
    </w:p>
    <w:p>
      <w:pPr>
        <w:pStyle w:val="18"/>
        <w:keepNext/>
        <w:keepLines/>
        <w:spacing w:after="320"/>
        <w:rPr>
          <w:b/>
          <w:bCs/>
          <w:color w:val="auto"/>
        </w:rPr>
      </w:pPr>
      <w:bookmarkStart w:id="568" w:name="bookmark973"/>
      <w:bookmarkStart w:id="569" w:name="bookmark975"/>
      <w:bookmarkStart w:id="570" w:name="bookmark974"/>
      <w:r>
        <w:rPr>
          <w:b/>
          <w:bCs/>
          <w:color w:val="auto"/>
        </w:rPr>
        <w:t>证籍管理办法</w:t>
      </w:r>
      <w:bookmarkEnd w:id="568"/>
      <w:bookmarkEnd w:id="569"/>
      <w:bookmarkEnd w:id="570"/>
    </w:p>
    <w:p>
      <w:pPr>
        <w:pStyle w:val="14"/>
        <w:spacing w:line="302" w:lineRule="exact"/>
        <w:ind w:firstLine="420"/>
        <w:jc w:val="both"/>
        <w:rPr>
          <w:color w:val="auto"/>
        </w:rPr>
      </w:pPr>
      <w:bookmarkStart w:id="571" w:name="bookmark976"/>
      <w:r>
        <w:rPr>
          <w:color w:val="auto"/>
        </w:rPr>
        <w:t>一</w:t>
      </w:r>
      <w:bookmarkEnd w:id="571"/>
      <w:r>
        <w:rPr>
          <w:color w:val="auto"/>
        </w:rPr>
        <w:t>、校园卡的证籍管理</w:t>
      </w:r>
    </w:p>
    <w:p>
      <w:pPr>
        <w:pStyle w:val="14"/>
        <w:tabs>
          <w:tab w:val="left" w:pos="770"/>
        </w:tabs>
        <w:spacing w:line="302" w:lineRule="exact"/>
        <w:ind w:left="420" w:firstLine="0"/>
        <w:jc w:val="both"/>
        <w:rPr>
          <w:color w:val="auto"/>
        </w:rPr>
      </w:pPr>
      <w:bookmarkStart w:id="572" w:name="bookmark977"/>
      <w:bookmarkEnd w:id="572"/>
      <w:r>
        <w:rPr>
          <w:rFonts w:ascii="Times New Roman" w:hAnsi="Times New Roman" w:cs="Times New Roman"/>
          <w:color w:val="auto"/>
          <w:sz w:val="20"/>
          <w:szCs w:val="20"/>
        </w:rPr>
        <w:t>１.</w:t>
      </w:r>
      <w:r>
        <w:rPr>
          <w:color w:val="auto"/>
        </w:rPr>
        <w:t>新生报到后，由图书馆以新生注册名单为准，集中办理读者注册手续，开通借阅权限</w:t>
      </w:r>
      <w:r>
        <w:rPr>
          <w:rFonts w:hint="eastAsia"/>
          <w:color w:val="auto"/>
        </w:rPr>
        <w:t>；</w:t>
      </w:r>
      <w:r>
        <w:rPr>
          <w:color w:val="auto"/>
        </w:rPr>
        <w:t>需个别注册的学生须持校园卡和学籍管理部门出具的证明到图书馆办理读者注册手续。</w:t>
      </w:r>
    </w:p>
    <w:p>
      <w:pPr>
        <w:pStyle w:val="14"/>
        <w:tabs>
          <w:tab w:val="left" w:pos="775"/>
        </w:tabs>
        <w:spacing w:line="302" w:lineRule="exact"/>
        <w:ind w:left="420" w:firstLine="0"/>
        <w:jc w:val="both"/>
        <w:rPr>
          <w:color w:val="auto"/>
        </w:rPr>
      </w:pPr>
      <w:bookmarkStart w:id="573" w:name="bookmark978"/>
      <w:bookmarkEnd w:id="573"/>
      <w:r>
        <w:rPr>
          <w:rFonts w:hint="eastAsia"/>
          <w:color w:val="auto"/>
          <w:sz w:val="20"/>
          <w:szCs w:val="20"/>
        </w:rPr>
        <w:t>２</w:t>
      </w:r>
      <w:r>
        <w:rPr>
          <w:rFonts w:hint="eastAsia" w:ascii="Times New Roman" w:hAnsi="Times New Roman" w:eastAsia="Times New Roman" w:cs="Times New Roman"/>
          <w:color w:val="auto"/>
          <w:sz w:val="20"/>
          <w:szCs w:val="20"/>
        </w:rPr>
        <w:t>.</w:t>
      </w:r>
      <w:r>
        <w:rPr>
          <w:color w:val="auto"/>
        </w:rPr>
        <w:t>本校学生，均凭本人校园卡借阅图书资料。凡持他人校园卡借阅图书资料者，工作人员有权拒借并扣押证件进行追究。</w:t>
      </w:r>
    </w:p>
    <w:p>
      <w:pPr>
        <w:pStyle w:val="14"/>
        <w:tabs>
          <w:tab w:val="left" w:pos="775"/>
        </w:tabs>
        <w:spacing w:line="302" w:lineRule="exact"/>
        <w:ind w:left="420" w:firstLine="0"/>
        <w:jc w:val="both"/>
        <w:rPr>
          <w:color w:val="auto"/>
          <w:sz w:val="20"/>
          <w:szCs w:val="20"/>
        </w:rPr>
      </w:pPr>
      <w:bookmarkStart w:id="574" w:name="bookmark979"/>
      <w:bookmarkEnd w:id="574"/>
      <w:r>
        <w:rPr>
          <w:rFonts w:ascii="Times New Roman" w:hAnsi="Times New Roman" w:cs="Times New Roman"/>
          <w:color w:val="auto"/>
          <w:sz w:val="20"/>
          <w:szCs w:val="20"/>
        </w:rPr>
        <w:t>３</w:t>
      </w:r>
      <w:r>
        <w:rPr>
          <w:rFonts w:hint="eastAsia"/>
          <w:color w:val="auto"/>
          <w:sz w:val="20"/>
          <w:szCs w:val="20"/>
        </w:rPr>
        <w:t>.</w:t>
      </w:r>
      <w:r>
        <w:rPr>
          <w:color w:val="auto"/>
        </w:rPr>
        <w:t>校园卡应妥善保管，如有遗失，按学校</w:t>
      </w:r>
      <w:r>
        <w:rPr>
          <w:color w:val="auto"/>
          <w:lang w:val="zh-CN" w:eastAsia="zh-CN" w:bidi="zh-CN"/>
        </w:rPr>
        <w:t>《“校</w:t>
      </w:r>
      <w:r>
        <w:rPr>
          <w:color w:val="auto"/>
        </w:rPr>
        <w:t>园一卡通”使用说明》办理相关事宜，并及时登陆图书馆网站进行挂失，其读者借阅权限即被中止。补办校园卡后，需持新校园卡和本人有效证件到图书馆方能解挂，恢复借阅权限。（图书馆网站上挂失前所造成的损失均由遗失者本人负责</w:t>
      </w:r>
      <w:r>
        <w:rPr>
          <w:rFonts w:hint="eastAsia"/>
          <w:color w:val="auto"/>
          <w:szCs w:val="20"/>
          <w:lang w:val="en-US" w:eastAsia="zh-CN" w:bidi="en-US"/>
        </w:rPr>
        <w:t>）</w:t>
      </w:r>
      <w:r>
        <w:rPr>
          <w:rFonts w:hint="eastAsia"/>
          <w:color w:val="auto"/>
          <w:sz w:val="20"/>
          <w:szCs w:val="20"/>
          <w:lang w:val="en-US" w:eastAsia="zh-CN" w:bidi="en-US"/>
        </w:rPr>
        <w:t>。</w:t>
      </w:r>
    </w:p>
    <w:p>
      <w:pPr>
        <w:pStyle w:val="14"/>
        <w:tabs>
          <w:tab w:val="left" w:pos="765"/>
        </w:tabs>
        <w:spacing w:after="180" w:line="302" w:lineRule="exact"/>
        <w:ind w:left="420" w:firstLine="0"/>
        <w:rPr>
          <w:color w:val="auto"/>
        </w:rPr>
      </w:pPr>
      <w:bookmarkStart w:id="575" w:name="bookmark980"/>
      <w:bookmarkEnd w:id="575"/>
      <w:r>
        <w:rPr>
          <w:rFonts w:hint="eastAsia"/>
          <w:color w:val="auto"/>
          <w:sz w:val="20"/>
          <w:szCs w:val="20"/>
        </w:rPr>
        <w:t>４.</w:t>
      </w:r>
      <w:r>
        <w:rPr>
          <w:color w:val="auto"/>
        </w:rPr>
        <w:t>读者离校时，须还清所借的馆藏书刊文献资料，签办离校手续。</w:t>
      </w:r>
    </w:p>
    <w:p>
      <w:pPr>
        <w:pStyle w:val="18"/>
        <w:keepNext/>
        <w:keepLines/>
        <w:spacing w:after="320"/>
        <w:rPr>
          <w:b/>
          <w:bCs/>
          <w:color w:val="auto"/>
        </w:rPr>
      </w:pPr>
      <w:bookmarkStart w:id="576" w:name="bookmark982"/>
      <w:bookmarkStart w:id="577" w:name="bookmark983"/>
      <w:bookmarkStart w:id="578" w:name="bookmark981"/>
      <w:r>
        <w:rPr>
          <w:b/>
          <w:bCs/>
          <w:color w:val="auto"/>
        </w:rPr>
        <w:t>图书借阅规则</w:t>
      </w:r>
      <w:bookmarkEnd w:id="576"/>
      <w:bookmarkEnd w:id="577"/>
      <w:bookmarkEnd w:id="578"/>
    </w:p>
    <w:p>
      <w:pPr>
        <w:pStyle w:val="14"/>
        <w:spacing w:line="301" w:lineRule="exact"/>
        <w:ind w:firstLine="440"/>
        <w:jc w:val="both"/>
        <w:rPr>
          <w:color w:val="auto"/>
        </w:rPr>
      </w:pPr>
      <w:bookmarkStart w:id="579" w:name="bookmark984"/>
      <w:r>
        <w:rPr>
          <w:color w:val="auto"/>
        </w:rPr>
        <w:t>一</w:t>
      </w:r>
      <w:bookmarkEnd w:id="579"/>
      <w:r>
        <w:rPr>
          <w:color w:val="auto"/>
        </w:rPr>
        <w:t>、本校学生，均凭本人校园卡借阅图书资料。凡持他人校园卡借阅图书资料者，工作人员有权拒借并扣押证件进行追究。</w:t>
      </w:r>
    </w:p>
    <w:p>
      <w:pPr>
        <w:pStyle w:val="14"/>
        <w:spacing w:line="301" w:lineRule="exact"/>
        <w:ind w:firstLine="440"/>
        <w:jc w:val="both"/>
        <w:rPr>
          <w:color w:val="auto"/>
        </w:rPr>
      </w:pPr>
      <w:bookmarkStart w:id="580" w:name="bookmark985"/>
      <w:r>
        <w:rPr>
          <w:color w:val="auto"/>
        </w:rPr>
        <w:t>二</w:t>
      </w:r>
      <w:bookmarkEnd w:id="580"/>
      <w:r>
        <w:rPr>
          <w:color w:val="auto"/>
        </w:rPr>
        <w:t>、图书馆实行开架借阅，在图书馆二楼大厅服务台办理借阅手续。</w:t>
      </w:r>
    </w:p>
    <w:p>
      <w:pPr>
        <w:pStyle w:val="14"/>
        <w:spacing w:line="301" w:lineRule="exact"/>
        <w:ind w:firstLine="440"/>
        <w:jc w:val="both"/>
        <w:rPr>
          <w:color w:val="auto"/>
        </w:rPr>
      </w:pPr>
      <w:bookmarkStart w:id="581" w:name="bookmark986"/>
      <w:r>
        <w:rPr>
          <w:color w:val="auto"/>
        </w:rPr>
        <w:t>三</w:t>
      </w:r>
      <w:bookmarkEnd w:id="581"/>
      <w:r>
        <w:rPr>
          <w:color w:val="auto"/>
        </w:rPr>
        <w:t>、读者在借书前，须自行检查书中有无污损、缺页等情况；如发现则应主动向工作人员声明，交由工作人员处理。读者应爱护和按期归还所借馆藏图书资料，不得勾划、圈点、批注、撕页、挖孔、损坏条形码、磁条、藏书章等。</w:t>
      </w:r>
    </w:p>
    <w:p>
      <w:pPr>
        <w:pStyle w:val="14"/>
        <w:spacing w:line="269" w:lineRule="exact"/>
        <w:ind w:firstLine="440"/>
        <w:jc w:val="both"/>
        <w:rPr>
          <w:color w:val="auto"/>
        </w:rPr>
      </w:pPr>
      <w:bookmarkStart w:id="582" w:name="bookmark987"/>
      <w:r>
        <w:rPr>
          <w:color w:val="auto"/>
        </w:rPr>
        <w:t>四</w:t>
      </w:r>
      <w:bookmarkEnd w:id="582"/>
      <w:r>
        <w:rPr>
          <w:color w:val="auto"/>
        </w:rPr>
        <w:t>、借书总册数的限定</w:t>
      </w:r>
      <w:r>
        <w:rPr>
          <w:rFonts w:hint="eastAsia"/>
          <w:color w:val="auto"/>
        </w:rPr>
        <w:t>：</w:t>
      </w:r>
      <w:r>
        <w:rPr>
          <w:color w:val="auto"/>
        </w:rPr>
        <w:t>强化班可借</w:t>
      </w:r>
      <w:r>
        <w:rPr>
          <w:rFonts w:ascii="Times New Roman" w:hAnsi="Times New Roman" w:eastAsia="Times New Roman" w:cs="Times New Roman"/>
          <w:color w:val="auto"/>
          <w:sz w:val="20"/>
          <w:szCs w:val="20"/>
        </w:rPr>
        <w:t>25</w:t>
      </w:r>
      <w:r>
        <w:rPr>
          <w:color w:val="auto"/>
        </w:rPr>
        <w:t>册，本科生、专转本可借</w:t>
      </w:r>
      <w:r>
        <w:rPr>
          <w:rFonts w:ascii="Times New Roman" w:hAnsi="Times New Roman" w:eastAsia="Times New Roman" w:cs="Times New Roman"/>
          <w:color w:val="auto"/>
          <w:sz w:val="20"/>
          <w:szCs w:val="20"/>
        </w:rPr>
        <w:t>20</w:t>
      </w:r>
      <w:r>
        <w:rPr>
          <w:color w:val="auto"/>
        </w:rPr>
        <w:t>册，毕业班同学在</w:t>
      </w:r>
      <w:r>
        <w:rPr>
          <w:color w:val="auto"/>
          <w:lang w:val="zh-CN" w:eastAsia="zh-CN" w:bidi="zh-CN"/>
        </w:rPr>
        <w:t>最后一</w:t>
      </w:r>
      <w:r>
        <w:rPr>
          <w:color w:val="auto"/>
        </w:rPr>
        <w:t>学年因毕业设计需要可借书</w:t>
      </w:r>
      <w:r>
        <w:rPr>
          <w:rFonts w:ascii="Times New Roman" w:hAnsi="Times New Roman" w:eastAsia="Times New Roman" w:cs="Times New Roman"/>
          <w:color w:val="auto"/>
          <w:sz w:val="20"/>
          <w:szCs w:val="20"/>
        </w:rPr>
        <w:t>25</w:t>
      </w:r>
      <w:r>
        <w:rPr>
          <w:color w:val="auto"/>
        </w:rPr>
        <w:t>册。</w:t>
      </w:r>
    </w:p>
    <w:p>
      <w:pPr>
        <w:pStyle w:val="14"/>
        <w:spacing w:line="302" w:lineRule="exact"/>
        <w:ind w:firstLine="440"/>
        <w:jc w:val="both"/>
        <w:rPr>
          <w:color w:val="auto"/>
        </w:rPr>
      </w:pPr>
      <w:bookmarkStart w:id="583" w:name="bookmark988"/>
      <w:r>
        <w:rPr>
          <w:color w:val="auto"/>
        </w:rPr>
        <w:t>五</w:t>
      </w:r>
      <w:bookmarkEnd w:id="583"/>
      <w:r>
        <w:rPr>
          <w:color w:val="auto"/>
        </w:rPr>
        <w:t>、强化班借期为</w:t>
      </w:r>
      <w:r>
        <w:rPr>
          <w:rFonts w:ascii="Times New Roman" w:hAnsi="Times New Roman" w:eastAsia="Times New Roman" w:cs="Times New Roman"/>
          <w:color w:val="auto"/>
          <w:sz w:val="20"/>
          <w:szCs w:val="20"/>
        </w:rPr>
        <w:t>60</w:t>
      </w:r>
      <w:r>
        <w:rPr>
          <w:color w:val="auto"/>
        </w:rPr>
        <w:t>天，本科生、专转本借期为</w:t>
      </w:r>
      <w:r>
        <w:rPr>
          <w:rFonts w:ascii="Times New Roman" w:hAnsi="Times New Roman" w:eastAsia="Times New Roman" w:cs="Times New Roman"/>
          <w:color w:val="auto"/>
          <w:sz w:val="20"/>
          <w:szCs w:val="20"/>
        </w:rPr>
        <w:t>30</w:t>
      </w:r>
      <w:r>
        <w:rPr>
          <w:color w:val="auto"/>
        </w:rPr>
        <w:t>天，毕业班借期为</w:t>
      </w:r>
      <w:r>
        <w:rPr>
          <w:rFonts w:ascii="Times New Roman" w:hAnsi="Times New Roman" w:eastAsia="Times New Roman" w:cs="Times New Roman"/>
          <w:color w:val="auto"/>
          <w:sz w:val="20"/>
          <w:szCs w:val="20"/>
        </w:rPr>
        <w:t>60</w:t>
      </w:r>
      <w:r>
        <w:rPr>
          <w:color w:val="auto"/>
        </w:rPr>
        <w:t>天。</w:t>
      </w:r>
    </w:p>
    <w:p>
      <w:pPr>
        <w:pStyle w:val="14"/>
        <w:spacing w:line="302" w:lineRule="exact"/>
        <w:ind w:firstLine="440"/>
        <w:jc w:val="both"/>
        <w:rPr>
          <w:color w:val="auto"/>
        </w:rPr>
      </w:pPr>
      <w:bookmarkStart w:id="584" w:name="bookmark989"/>
      <w:r>
        <w:rPr>
          <w:color w:val="auto"/>
        </w:rPr>
        <w:t>六</w:t>
      </w:r>
      <w:bookmarkEnd w:id="584"/>
      <w:r>
        <w:rPr>
          <w:color w:val="auto"/>
        </w:rPr>
        <w:t>、学生所借的图书，在未到归还期之前</w:t>
      </w:r>
      <w:r>
        <w:rPr>
          <w:rFonts w:ascii="Times New Roman" w:hAnsi="Times New Roman" w:eastAsia="Times New Roman" w:cs="Times New Roman"/>
          <w:color w:val="auto"/>
          <w:sz w:val="20"/>
          <w:szCs w:val="20"/>
        </w:rPr>
        <w:t>10</w:t>
      </w:r>
      <w:r>
        <w:rPr>
          <w:color w:val="auto"/>
        </w:rPr>
        <w:t>天内，可续借</w:t>
      </w:r>
      <w:r>
        <w:rPr>
          <w:rFonts w:ascii="Times New Roman" w:hAnsi="Times New Roman" w:eastAsia="Times New Roman" w:cs="Times New Roman"/>
          <w:color w:val="auto"/>
          <w:sz w:val="20"/>
          <w:szCs w:val="20"/>
        </w:rPr>
        <w:t>2</w:t>
      </w:r>
      <w:r>
        <w:rPr>
          <w:color w:val="auto"/>
        </w:rPr>
        <w:t>次，期限为</w:t>
      </w:r>
      <w:r>
        <w:rPr>
          <w:rFonts w:ascii="Times New Roman" w:hAnsi="Times New Roman" w:eastAsia="Times New Roman" w:cs="Times New Roman"/>
          <w:color w:val="auto"/>
          <w:sz w:val="20"/>
          <w:szCs w:val="20"/>
        </w:rPr>
        <w:t>30</w:t>
      </w:r>
      <w:r>
        <w:rPr>
          <w:color w:val="auto"/>
        </w:rPr>
        <w:t>天。</w:t>
      </w:r>
    </w:p>
    <w:p>
      <w:pPr>
        <w:pStyle w:val="14"/>
        <w:spacing w:line="302" w:lineRule="exact"/>
        <w:ind w:firstLine="440"/>
        <w:jc w:val="both"/>
        <w:rPr>
          <w:color w:val="auto"/>
        </w:rPr>
      </w:pPr>
      <w:bookmarkStart w:id="585" w:name="bookmark990"/>
      <w:r>
        <w:rPr>
          <w:color w:val="auto"/>
        </w:rPr>
        <w:t>七</w:t>
      </w:r>
      <w:bookmarkEnd w:id="585"/>
      <w:r>
        <w:rPr>
          <w:color w:val="auto"/>
        </w:rPr>
        <w:t>、所借图书在寒暑假内到达借阅期限者，可在假期结束后的</w:t>
      </w:r>
      <w:r>
        <w:rPr>
          <w:rFonts w:ascii="Times New Roman" w:hAnsi="Times New Roman" w:eastAsia="Times New Roman" w:cs="Times New Roman"/>
          <w:color w:val="auto"/>
          <w:sz w:val="20"/>
          <w:szCs w:val="20"/>
        </w:rPr>
        <w:t>7</w:t>
      </w:r>
      <w:r>
        <w:rPr>
          <w:color w:val="auto"/>
        </w:rPr>
        <w:t>日内归还，不作过期处理。</w:t>
      </w:r>
    </w:p>
    <w:p>
      <w:pPr>
        <w:pStyle w:val="14"/>
        <w:spacing w:line="302" w:lineRule="exact"/>
        <w:ind w:firstLine="440"/>
        <w:jc w:val="both"/>
        <w:rPr>
          <w:color w:val="auto"/>
        </w:rPr>
      </w:pPr>
      <w:bookmarkStart w:id="586" w:name="bookmark991"/>
      <w:r>
        <w:rPr>
          <w:color w:val="auto"/>
        </w:rPr>
        <w:t>八</w:t>
      </w:r>
      <w:bookmarkEnd w:id="586"/>
      <w:r>
        <w:rPr>
          <w:color w:val="auto"/>
        </w:rPr>
        <w:t>、所借图书在法定节假日内到达借阅期限者，应在法定节假日结束后的</w:t>
      </w:r>
      <w:r>
        <w:rPr>
          <w:rFonts w:ascii="Times New Roman" w:hAnsi="Times New Roman" w:eastAsia="Times New Roman" w:cs="Times New Roman"/>
          <w:color w:val="auto"/>
          <w:sz w:val="20"/>
          <w:szCs w:val="20"/>
        </w:rPr>
        <w:t>2</w:t>
      </w:r>
      <w:r>
        <w:rPr>
          <w:color w:val="auto"/>
        </w:rPr>
        <w:t>日归还，不作过期处理。</w:t>
      </w:r>
    </w:p>
    <w:p>
      <w:pPr>
        <w:pStyle w:val="14"/>
        <w:spacing w:line="302" w:lineRule="exact"/>
        <w:ind w:firstLine="440"/>
        <w:jc w:val="both"/>
        <w:rPr>
          <w:color w:val="auto"/>
        </w:rPr>
      </w:pPr>
      <w:bookmarkStart w:id="587" w:name="bookmark992"/>
      <w:r>
        <w:rPr>
          <w:color w:val="auto"/>
        </w:rPr>
        <w:t>九</w:t>
      </w:r>
      <w:bookmarkEnd w:id="587"/>
      <w:r>
        <w:rPr>
          <w:color w:val="auto"/>
        </w:rPr>
        <w:t>、逾期违约金，图书资料遗失、损坏等，均按《南京航空航天大学金城学院图书馆违章处理规定》执行。</w:t>
      </w:r>
    </w:p>
    <w:p>
      <w:pPr>
        <w:pStyle w:val="14"/>
        <w:spacing w:line="302" w:lineRule="exact"/>
        <w:ind w:firstLine="440"/>
        <w:jc w:val="both"/>
        <w:rPr>
          <w:color w:val="auto"/>
        </w:rPr>
      </w:pPr>
      <w:r>
        <w:rPr>
          <w:color w:val="auto"/>
        </w:rPr>
        <w:t>十、本馆所有期刊仅限在馆内阅览，不得外借。</w:t>
      </w:r>
    </w:p>
    <w:p>
      <w:pPr>
        <w:pStyle w:val="14"/>
        <w:spacing w:line="302" w:lineRule="exact"/>
        <w:ind w:firstLine="440"/>
        <w:jc w:val="both"/>
        <w:rPr>
          <w:color w:val="auto"/>
        </w:rPr>
      </w:pPr>
    </w:p>
    <w:p>
      <w:pPr>
        <w:pStyle w:val="18"/>
        <w:keepNext/>
        <w:keepLines/>
        <w:spacing w:after="320"/>
        <w:rPr>
          <w:color w:val="auto"/>
        </w:rPr>
      </w:pPr>
      <w:bookmarkStart w:id="588" w:name="bookmark993"/>
      <w:bookmarkStart w:id="589" w:name="bookmark994"/>
      <w:bookmarkStart w:id="590" w:name="bookmark995"/>
      <w:r>
        <w:rPr>
          <w:color w:val="auto"/>
        </w:rPr>
        <w:t>图书阅览规则</w:t>
      </w:r>
      <w:bookmarkEnd w:id="588"/>
      <w:bookmarkEnd w:id="589"/>
      <w:bookmarkEnd w:id="590"/>
    </w:p>
    <w:p>
      <w:pPr>
        <w:pStyle w:val="14"/>
        <w:spacing w:line="305" w:lineRule="exact"/>
        <w:ind w:firstLine="440"/>
        <w:jc w:val="both"/>
        <w:rPr>
          <w:color w:val="auto"/>
        </w:rPr>
      </w:pPr>
      <w:r>
        <w:rPr>
          <w:rFonts w:hint="eastAsia"/>
          <w:color w:val="auto"/>
        </w:rPr>
        <w:t>一</w:t>
      </w:r>
      <w:r>
        <w:rPr>
          <w:color w:val="auto"/>
        </w:rPr>
        <w:t>、室内图书可提供阅览、外借。读者外借图书，须凭本人校园卡去二楼大厅借书处办理借阅手续。</w:t>
      </w:r>
    </w:p>
    <w:p>
      <w:pPr>
        <w:pStyle w:val="14"/>
        <w:spacing w:line="305" w:lineRule="exact"/>
        <w:ind w:firstLine="440"/>
        <w:jc w:val="both"/>
        <w:rPr>
          <w:color w:val="auto"/>
        </w:rPr>
      </w:pPr>
      <w:bookmarkStart w:id="591" w:name="bookmark996"/>
      <w:r>
        <w:rPr>
          <w:color w:val="auto"/>
        </w:rPr>
        <w:t>二</w:t>
      </w:r>
      <w:bookmarkEnd w:id="591"/>
      <w:r>
        <w:rPr>
          <w:color w:val="auto"/>
        </w:rPr>
        <w:t>、爱护馆藏书刊文献信息资料，严禁勾划、污损、撕页。</w:t>
      </w:r>
    </w:p>
    <w:p>
      <w:pPr>
        <w:pStyle w:val="14"/>
        <w:spacing w:line="305" w:lineRule="exact"/>
        <w:ind w:firstLine="440"/>
        <w:jc w:val="both"/>
        <w:rPr>
          <w:color w:val="auto"/>
        </w:rPr>
      </w:pPr>
      <w:bookmarkStart w:id="592" w:name="bookmark997"/>
      <w:r>
        <w:rPr>
          <w:color w:val="auto"/>
        </w:rPr>
        <w:t>三</w:t>
      </w:r>
      <w:bookmarkEnd w:id="592"/>
      <w:r>
        <w:rPr>
          <w:color w:val="auto"/>
        </w:rPr>
        <w:t>、读者从书架上取图书阅览、每人一次限取</w:t>
      </w:r>
      <w:r>
        <w:rPr>
          <w:rFonts w:ascii="Times New Roman" w:hAnsi="Times New Roman" w:eastAsia="Times New Roman" w:cs="Times New Roman"/>
          <w:color w:val="auto"/>
          <w:sz w:val="20"/>
          <w:szCs w:val="20"/>
        </w:rPr>
        <w:t>2</w:t>
      </w:r>
      <w:r>
        <w:rPr>
          <w:color w:val="auto"/>
        </w:rPr>
        <w:t>册。阅览完毕后，可将书放置在中转书车上，由工作人员上架。</w:t>
      </w:r>
    </w:p>
    <w:p>
      <w:pPr>
        <w:pStyle w:val="14"/>
        <w:spacing w:line="305" w:lineRule="exact"/>
        <w:ind w:firstLine="440"/>
        <w:jc w:val="both"/>
        <w:rPr>
          <w:color w:val="auto"/>
        </w:rPr>
      </w:pPr>
      <w:bookmarkStart w:id="593" w:name="bookmark998"/>
      <w:r>
        <w:rPr>
          <w:color w:val="auto"/>
        </w:rPr>
        <w:t>四</w:t>
      </w:r>
      <w:bookmarkEnd w:id="593"/>
      <w:r>
        <w:rPr>
          <w:color w:val="auto"/>
        </w:rPr>
        <w:t>、保持阅览室内安静整洁，不得在阅览室内大声喧哗、接打手机，不随地吐痰，不乱扔果皮、纸屑。</w:t>
      </w:r>
    </w:p>
    <w:p>
      <w:pPr>
        <w:pStyle w:val="14"/>
        <w:spacing w:line="305" w:lineRule="exact"/>
        <w:ind w:firstLine="440"/>
        <w:jc w:val="both"/>
        <w:rPr>
          <w:color w:val="auto"/>
        </w:rPr>
      </w:pPr>
      <w:bookmarkStart w:id="594" w:name="bookmark999"/>
      <w:r>
        <w:rPr>
          <w:color w:val="auto"/>
        </w:rPr>
        <w:t>五</w:t>
      </w:r>
      <w:bookmarkEnd w:id="594"/>
      <w:r>
        <w:rPr>
          <w:color w:val="auto"/>
        </w:rPr>
        <w:t>、读者离开阅览室，请将私人物品随身携带，严禁用物品或馆藏图书占座位。</w:t>
      </w:r>
    </w:p>
    <w:p>
      <w:pPr>
        <w:pStyle w:val="14"/>
        <w:spacing w:after="380" w:line="305" w:lineRule="exact"/>
        <w:ind w:firstLine="440"/>
        <w:jc w:val="both"/>
        <w:rPr>
          <w:color w:val="auto"/>
        </w:rPr>
      </w:pPr>
      <w:bookmarkStart w:id="595" w:name="bookmark1000"/>
      <w:r>
        <w:rPr>
          <w:color w:val="auto"/>
        </w:rPr>
        <w:t>六</w:t>
      </w:r>
      <w:bookmarkEnd w:id="595"/>
      <w:r>
        <w:rPr>
          <w:color w:val="auto"/>
        </w:rPr>
        <w:t>、如有违反以上规定者，均按《南京航空航天大学金城学院图书馆违章处理规定》执行。</w:t>
      </w:r>
    </w:p>
    <w:p>
      <w:pPr>
        <w:pStyle w:val="18"/>
        <w:keepNext/>
        <w:keepLines/>
        <w:spacing w:after="320"/>
        <w:rPr>
          <w:b/>
          <w:bCs/>
          <w:color w:val="auto"/>
        </w:rPr>
      </w:pPr>
      <w:bookmarkStart w:id="596" w:name="bookmark1002"/>
      <w:bookmarkStart w:id="597" w:name="bookmark1001"/>
      <w:bookmarkStart w:id="598" w:name="bookmark1003"/>
      <w:r>
        <w:rPr>
          <w:b/>
          <w:bCs/>
          <w:color w:val="auto"/>
        </w:rPr>
        <w:t>报刊阅览规则</w:t>
      </w:r>
      <w:bookmarkEnd w:id="596"/>
      <w:bookmarkEnd w:id="597"/>
      <w:bookmarkEnd w:id="598"/>
    </w:p>
    <w:p>
      <w:pPr>
        <w:pStyle w:val="14"/>
        <w:spacing w:line="302" w:lineRule="exact"/>
        <w:ind w:firstLine="440"/>
        <w:jc w:val="both"/>
        <w:rPr>
          <w:color w:val="auto"/>
        </w:rPr>
      </w:pPr>
      <w:bookmarkStart w:id="599" w:name="bookmark1004"/>
      <w:r>
        <w:rPr>
          <w:color w:val="auto"/>
        </w:rPr>
        <w:t>一</w:t>
      </w:r>
      <w:bookmarkEnd w:id="599"/>
      <w:r>
        <w:rPr>
          <w:color w:val="auto"/>
        </w:rPr>
        <w:t>、本室报刊仅供阅览，不外借，读者不得擅自携出室外。如需复印可办理相关手续，在本馆复印并及时归还。</w:t>
      </w:r>
    </w:p>
    <w:p>
      <w:pPr>
        <w:pStyle w:val="14"/>
        <w:spacing w:line="302" w:lineRule="exact"/>
        <w:ind w:firstLine="440"/>
        <w:jc w:val="both"/>
        <w:rPr>
          <w:color w:val="auto"/>
        </w:rPr>
      </w:pPr>
      <w:bookmarkStart w:id="600" w:name="bookmark1005"/>
      <w:r>
        <w:rPr>
          <w:color w:val="auto"/>
        </w:rPr>
        <w:t>二</w:t>
      </w:r>
      <w:bookmarkEnd w:id="600"/>
      <w:r>
        <w:rPr>
          <w:color w:val="auto"/>
        </w:rPr>
        <w:t>、爱护阅览室公共设施，爱护馆藏报刊文献信息资料。严禁勾划、污损、撕页。违者按图书馆相关规定处理。</w:t>
      </w:r>
    </w:p>
    <w:p>
      <w:pPr>
        <w:pStyle w:val="14"/>
        <w:tabs>
          <w:tab w:val="left" w:pos="493"/>
        </w:tabs>
        <w:spacing w:line="302" w:lineRule="exact"/>
        <w:ind w:firstLine="440"/>
        <w:jc w:val="both"/>
        <w:rPr>
          <w:color w:val="auto"/>
        </w:rPr>
      </w:pPr>
      <w:bookmarkStart w:id="601" w:name="bookmark1006"/>
      <w:r>
        <w:rPr>
          <w:color w:val="auto"/>
        </w:rPr>
        <w:t>三</w:t>
      </w:r>
      <w:bookmarkEnd w:id="601"/>
      <w:r>
        <w:rPr>
          <w:color w:val="auto"/>
        </w:rPr>
        <w:t>、读者每次限取两册期刊或两份报纸。现刊、报纸阅览完毕，请将其放回原处，过刊可放置在书车上。</w:t>
      </w:r>
    </w:p>
    <w:p>
      <w:pPr>
        <w:pStyle w:val="14"/>
        <w:spacing w:line="301" w:lineRule="exact"/>
        <w:ind w:firstLine="440"/>
        <w:jc w:val="both"/>
        <w:rPr>
          <w:color w:val="auto"/>
        </w:rPr>
      </w:pPr>
      <w:bookmarkStart w:id="602" w:name="bookmark1007"/>
      <w:r>
        <w:rPr>
          <w:color w:val="auto"/>
        </w:rPr>
        <w:t>四</w:t>
      </w:r>
      <w:bookmarkEnd w:id="602"/>
      <w:r>
        <w:rPr>
          <w:color w:val="auto"/>
        </w:rPr>
        <w:t>、保持阅览室内安静整洁，不得在阅览室内大声喧哗、接打手机，不随地吐痰，不乱扔果皮、纸屑。</w:t>
      </w:r>
    </w:p>
    <w:p>
      <w:pPr>
        <w:pStyle w:val="14"/>
        <w:spacing w:line="301" w:lineRule="exact"/>
        <w:ind w:firstLine="440"/>
        <w:jc w:val="both"/>
        <w:rPr>
          <w:color w:val="auto"/>
        </w:rPr>
      </w:pPr>
      <w:bookmarkStart w:id="603" w:name="bookmark1008"/>
      <w:r>
        <w:rPr>
          <w:color w:val="auto"/>
        </w:rPr>
        <w:t>五</w:t>
      </w:r>
      <w:bookmarkEnd w:id="603"/>
      <w:r>
        <w:rPr>
          <w:color w:val="auto"/>
        </w:rPr>
        <w:t>、室内计算机提供读者查阅电子期刊与报纸等资源，切勿长时间占用。不得自行插卸硬件设备；不得破坏系统文件及应用软件；不得自行安装各类应用软件；不得利用计算机进行各类电子游戏。必须遵守公安部《计算机信息网络国际联网安全保护管理办法》。</w:t>
      </w:r>
    </w:p>
    <w:p>
      <w:pPr>
        <w:pStyle w:val="14"/>
        <w:spacing w:line="301" w:lineRule="exact"/>
        <w:ind w:firstLine="440"/>
        <w:jc w:val="both"/>
        <w:rPr>
          <w:color w:val="auto"/>
        </w:rPr>
      </w:pPr>
      <w:bookmarkStart w:id="604" w:name="bookmark1009"/>
      <w:r>
        <w:rPr>
          <w:color w:val="auto"/>
        </w:rPr>
        <w:t>六</w:t>
      </w:r>
      <w:bookmarkEnd w:id="604"/>
      <w:r>
        <w:rPr>
          <w:color w:val="auto"/>
        </w:rPr>
        <w:t>、读者离开阅览室，请将私人物品随身携带，严禁用物品或馆藏图书占座位。</w:t>
      </w:r>
    </w:p>
    <w:p>
      <w:pPr>
        <w:pStyle w:val="14"/>
        <w:spacing w:after="380" w:line="301" w:lineRule="exact"/>
        <w:ind w:firstLine="440"/>
        <w:jc w:val="both"/>
        <w:rPr>
          <w:color w:val="auto"/>
        </w:rPr>
      </w:pPr>
      <w:bookmarkStart w:id="605" w:name="bookmark1010"/>
      <w:r>
        <w:rPr>
          <w:color w:val="auto"/>
        </w:rPr>
        <w:t>七</w:t>
      </w:r>
      <w:bookmarkEnd w:id="605"/>
      <w:r>
        <w:rPr>
          <w:color w:val="auto"/>
        </w:rPr>
        <w:t>、如有违反以上规定者，均按《南京航空航天大学金城学院图书馆违章处理规定》执行。</w:t>
      </w:r>
    </w:p>
    <w:p>
      <w:pPr>
        <w:pStyle w:val="18"/>
        <w:keepNext/>
        <w:keepLines/>
        <w:spacing w:after="320"/>
        <w:rPr>
          <w:b/>
          <w:bCs/>
          <w:color w:val="auto"/>
        </w:rPr>
      </w:pPr>
      <w:bookmarkStart w:id="606" w:name="bookmark1011"/>
      <w:bookmarkStart w:id="607" w:name="bookmark1012"/>
      <w:bookmarkStart w:id="608" w:name="bookmark1013"/>
      <w:r>
        <w:rPr>
          <w:b/>
          <w:bCs/>
          <w:color w:val="auto"/>
        </w:rPr>
        <w:t>电子阅览室管理规定</w:t>
      </w:r>
      <w:bookmarkEnd w:id="606"/>
      <w:bookmarkEnd w:id="607"/>
      <w:bookmarkEnd w:id="608"/>
    </w:p>
    <w:p>
      <w:pPr>
        <w:pStyle w:val="14"/>
        <w:spacing w:line="304" w:lineRule="exact"/>
        <w:ind w:firstLine="420"/>
        <w:jc w:val="both"/>
        <w:rPr>
          <w:color w:val="auto"/>
        </w:rPr>
      </w:pPr>
      <w:bookmarkStart w:id="609" w:name="bookmark1014"/>
      <w:r>
        <w:rPr>
          <w:color w:val="auto"/>
        </w:rPr>
        <w:t>一</w:t>
      </w:r>
      <w:bookmarkEnd w:id="609"/>
      <w:r>
        <w:rPr>
          <w:color w:val="auto"/>
        </w:rPr>
        <w:t>、电子阅览室</w:t>
      </w:r>
      <w:r>
        <w:rPr>
          <w:rFonts w:hint="eastAsia"/>
          <w:color w:val="auto"/>
          <w:lang w:val="en-US" w:eastAsia="zh-CN"/>
        </w:rPr>
        <w:t>A区</w:t>
      </w:r>
      <w:r>
        <w:rPr>
          <w:color w:val="auto"/>
        </w:rPr>
        <w:t>为自主电子阅览空间，无需预约，可自主选择座位，直接使用电脑</w:t>
      </w:r>
      <w:r>
        <w:rPr>
          <w:rFonts w:hint="eastAsia"/>
          <w:color w:val="auto"/>
          <w:lang w:eastAsia="zh-CN"/>
        </w:rPr>
        <w:t>，</w:t>
      </w:r>
      <w:r>
        <w:rPr>
          <w:rFonts w:hint="eastAsia"/>
          <w:color w:val="auto"/>
          <w:lang w:val="en-US" w:eastAsia="zh-CN"/>
        </w:rPr>
        <w:t>严禁在自主电子阅览区拔插电源及网线</w:t>
      </w:r>
      <w:r>
        <w:rPr>
          <w:color w:val="auto"/>
        </w:rPr>
        <w:t>。</w:t>
      </w:r>
    </w:p>
    <w:p>
      <w:pPr>
        <w:pStyle w:val="14"/>
        <w:spacing w:line="304" w:lineRule="exact"/>
        <w:ind w:firstLine="440"/>
        <w:jc w:val="both"/>
        <w:rPr>
          <w:color w:val="auto"/>
        </w:rPr>
      </w:pPr>
      <w:bookmarkStart w:id="610" w:name="bookmark1015"/>
      <w:r>
        <w:rPr>
          <w:color w:val="auto"/>
        </w:rPr>
        <w:t>二</w:t>
      </w:r>
      <w:bookmarkEnd w:id="610"/>
      <w:r>
        <w:rPr>
          <w:color w:val="auto"/>
        </w:rPr>
        <w:t>、电子阅览室</w:t>
      </w:r>
      <w:r>
        <w:rPr>
          <w:rFonts w:hint="eastAsia"/>
          <w:color w:val="auto"/>
          <w:lang w:val="en-US" w:eastAsia="zh-CN"/>
        </w:rPr>
        <w:t>B、C、D</w:t>
      </w:r>
      <w:r>
        <w:rPr>
          <w:color w:val="auto"/>
        </w:rPr>
        <w:t>区为自助电子阅览区，可自带电脑上网学习。</w:t>
      </w:r>
    </w:p>
    <w:p>
      <w:pPr>
        <w:pStyle w:val="14"/>
        <w:spacing w:line="304" w:lineRule="exact"/>
        <w:ind w:firstLine="440"/>
        <w:jc w:val="both"/>
        <w:rPr>
          <w:color w:val="auto"/>
        </w:rPr>
      </w:pPr>
      <w:bookmarkStart w:id="611" w:name="bookmark1016"/>
      <w:r>
        <w:rPr>
          <w:color w:val="auto"/>
        </w:rPr>
        <w:t>三</w:t>
      </w:r>
      <w:bookmarkEnd w:id="611"/>
      <w:r>
        <w:rPr>
          <w:color w:val="auto"/>
        </w:rPr>
        <w:t>、上机者须自觉爱护室内设备，不得自行插拔、拆卸、搬移硬件设备；不得破坏、删除、更改系统文件及应用软件；不得自行安装各类应用软件。</w:t>
      </w:r>
    </w:p>
    <w:p>
      <w:pPr>
        <w:pStyle w:val="14"/>
        <w:spacing w:line="304" w:lineRule="exact"/>
        <w:ind w:firstLine="440"/>
        <w:jc w:val="both"/>
        <w:rPr>
          <w:rFonts w:eastAsia="PMingLiU"/>
          <w:color w:val="auto"/>
        </w:rPr>
      </w:pPr>
      <w:bookmarkStart w:id="612" w:name="bookmark1017"/>
      <w:r>
        <w:rPr>
          <w:color w:val="auto"/>
        </w:rPr>
        <w:t>四</w:t>
      </w:r>
      <w:bookmarkEnd w:id="612"/>
      <w:r>
        <w:rPr>
          <w:color w:val="auto"/>
        </w:rPr>
        <w:t>、保持室内整洁，禁止吸烟、吐痰、乱扔废弃物，不得穿背心、拖鞋入室。</w:t>
      </w:r>
    </w:p>
    <w:p>
      <w:pPr>
        <w:pStyle w:val="14"/>
        <w:tabs>
          <w:tab w:val="left" w:pos="939"/>
        </w:tabs>
        <w:spacing w:line="304" w:lineRule="exact"/>
        <w:ind w:firstLine="440"/>
        <w:jc w:val="both"/>
        <w:rPr>
          <w:color w:val="auto"/>
        </w:rPr>
      </w:pPr>
      <w:r>
        <w:rPr>
          <w:color w:val="auto"/>
        </w:rPr>
        <w:t>五</w:t>
      </w:r>
      <w:r>
        <w:rPr>
          <w:rFonts w:hint="eastAsia"/>
          <w:color w:val="auto"/>
        </w:rPr>
        <w:t>、</w:t>
      </w:r>
      <w:r>
        <w:rPr>
          <w:color w:val="auto"/>
        </w:rPr>
        <w:t>保持室内安静，禁止在室内打电话或大声喧哗，将手机置于震动状态，以免影响他人。</w:t>
      </w:r>
    </w:p>
    <w:p>
      <w:pPr>
        <w:pStyle w:val="14"/>
        <w:spacing w:line="301" w:lineRule="exact"/>
        <w:ind w:firstLine="440"/>
        <w:jc w:val="both"/>
        <w:rPr>
          <w:color w:val="auto"/>
        </w:rPr>
      </w:pPr>
      <w:bookmarkStart w:id="613" w:name="bookmark1018"/>
      <w:r>
        <w:rPr>
          <w:color w:val="auto"/>
        </w:rPr>
        <w:t>六</w:t>
      </w:r>
      <w:bookmarkEnd w:id="613"/>
      <w:r>
        <w:rPr>
          <w:color w:val="auto"/>
        </w:rPr>
        <w:t>、读者在本室不得利用计算机进行各类电子游戏。</w:t>
      </w:r>
    </w:p>
    <w:p>
      <w:pPr>
        <w:pStyle w:val="14"/>
        <w:spacing w:line="301" w:lineRule="exact"/>
        <w:ind w:firstLine="440"/>
        <w:jc w:val="both"/>
        <w:rPr>
          <w:color w:val="auto"/>
        </w:rPr>
      </w:pPr>
      <w:bookmarkStart w:id="614" w:name="bookmark1019"/>
      <w:r>
        <w:rPr>
          <w:color w:val="auto"/>
        </w:rPr>
        <w:t>七</w:t>
      </w:r>
      <w:bookmarkEnd w:id="614"/>
      <w:r>
        <w:rPr>
          <w:color w:val="auto"/>
        </w:rPr>
        <w:t>、读者必须遵守公安部《计算机信息网络国际联网安全保护管理办法》，不得利用国际互联网从事危害国家安全、制作、复制、查阅和传播封建迷信、淫秽、色情等违反法规和有关规定的活动；严禁创建、下载、安装、运行、传播病毒或黑客程序；合法使用并下载电子数据库文献资源。如有违反，一经发现，将根据事件的严重程度予以批评教育并按学校及图书馆有关规定处理。</w:t>
      </w:r>
    </w:p>
    <w:p>
      <w:pPr>
        <w:pStyle w:val="14"/>
        <w:spacing w:line="301" w:lineRule="exact"/>
        <w:ind w:firstLine="440"/>
        <w:jc w:val="both"/>
        <w:rPr>
          <w:color w:val="auto"/>
        </w:rPr>
      </w:pPr>
    </w:p>
    <w:p>
      <w:pPr>
        <w:pStyle w:val="18"/>
        <w:keepNext/>
        <w:keepLines/>
        <w:spacing w:after="320"/>
        <w:rPr>
          <w:b/>
          <w:bCs/>
          <w:color w:val="auto"/>
        </w:rPr>
      </w:pPr>
      <w:bookmarkStart w:id="615" w:name="bookmark1022"/>
      <w:bookmarkStart w:id="616" w:name="bookmark1021"/>
      <w:bookmarkStart w:id="617" w:name="bookmark1023"/>
      <w:r>
        <w:rPr>
          <w:b/>
          <w:bCs/>
          <w:color w:val="auto"/>
        </w:rPr>
        <w:t>信息共享中心管理规定</w:t>
      </w:r>
      <w:bookmarkEnd w:id="615"/>
      <w:bookmarkEnd w:id="616"/>
      <w:bookmarkEnd w:id="617"/>
    </w:p>
    <w:p>
      <w:pPr>
        <w:pStyle w:val="14"/>
        <w:spacing w:line="300" w:lineRule="exact"/>
        <w:ind w:firstLine="440"/>
        <w:jc w:val="both"/>
        <w:rPr>
          <w:color w:val="auto"/>
        </w:rPr>
      </w:pPr>
      <w:bookmarkStart w:id="618" w:name="bookmark1024"/>
      <w:r>
        <w:rPr>
          <w:color w:val="auto"/>
        </w:rPr>
        <w:t>一</w:t>
      </w:r>
      <w:bookmarkEnd w:id="618"/>
      <w:r>
        <w:rPr>
          <w:color w:val="auto"/>
        </w:rPr>
        <w:t>、信息共享中心为自主电子阅览区及视频欣赏区，其中自主电子阅览室区无需预约，可自主选择座位，直接使用电脑；视频欣赏区可直接观看网络电视。</w:t>
      </w:r>
    </w:p>
    <w:p>
      <w:pPr>
        <w:pStyle w:val="14"/>
        <w:spacing w:after="60" w:line="300" w:lineRule="exact"/>
        <w:ind w:firstLine="440"/>
        <w:jc w:val="both"/>
        <w:rPr>
          <w:color w:val="auto"/>
        </w:rPr>
      </w:pPr>
      <w:bookmarkStart w:id="619" w:name="bookmark1025"/>
      <w:r>
        <w:rPr>
          <w:color w:val="auto"/>
        </w:rPr>
        <w:t>二</w:t>
      </w:r>
      <w:bookmarkEnd w:id="619"/>
      <w:r>
        <w:rPr>
          <w:color w:val="auto"/>
        </w:rPr>
        <w:t>、读者须自觉爱护室内设备，不得自行插拔、拆卸、搬移硬件设备；不得破坏、删除、更改电子计算机的系统文件及应用软件；不得自行为电子计算机安装各类应用软件。</w:t>
      </w:r>
    </w:p>
    <w:p>
      <w:pPr>
        <w:pStyle w:val="14"/>
        <w:spacing w:line="240" w:lineRule="auto"/>
        <w:ind w:firstLine="440"/>
        <w:jc w:val="both"/>
        <w:rPr>
          <w:color w:val="auto"/>
        </w:rPr>
      </w:pPr>
      <w:bookmarkStart w:id="620" w:name="bookmark1026"/>
      <w:r>
        <w:rPr>
          <w:color w:val="auto"/>
        </w:rPr>
        <w:t>三</w:t>
      </w:r>
      <w:bookmarkEnd w:id="620"/>
      <w:r>
        <w:rPr>
          <w:color w:val="auto"/>
        </w:rPr>
        <w:t>、读者在本室上机不得利用计算机进行各类电子游戏。</w:t>
      </w:r>
    </w:p>
    <w:p>
      <w:pPr>
        <w:pStyle w:val="14"/>
        <w:spacing w:line="298" w:lineRule="exact"/>
        <w:ind w:firstLine="440"/>
        <w:jc w:val="both"/>
        <w:rPr>
          <w:rFonts w:eastAsia="PMingLiU"/>
          <w:color w:val="auto"/>
        </w:rPr>
      </w:pPr>
      <w:bookmarkStart w:id="621" w:name="bookmark1027"/>
      <w:r>
        <w:rPr>
          <w:color w:val="auto"/>
        </w:rPr>
        <w:t>四</w:t>
      </w:r>
      <w:bookmarkEnd w:id="621"/>
      <w:r>
        <w:rPr>
          <w:color w:val="auto"/>
        </w:rPr>
        <w:t>、保持室内整洁，禁止吸烟、吐痰、乱扔废弃物，不得穿背心、拖鞋入室。</w:t>
      </w:r>
    </w:p>
    <w:p>
      <w:pPr>
        <w:pStyle w:val="14"/>
        <w:tabs>
          <w:tab w:val="left" w:pos="939"/>
        </w:tabs>
        <w:spacing w:line="298" w:lineRule="exact"/>
        <w:ind w:firstLine="440"/>
        <w:jc w:val="both"/>
        <w:rPr>
          <w:color w:val="auto"/>
        </w:rPr>
      </w:pPr>
      <w:r>
        <w:rPr>
          <w:color w:val="auto"/>
        </w:rPr>
        <w:t>五、保持室内安静，禁止在室内打电话或大声喧哗，将手机置于震动状态，以免影响他人。</w:t>
      </w:r>
    </w:p>
    <w:p>
      <w:pPr>
        <w:pStyle w:val="14"/>
        <w:spacing w:line="298" w:lineRule="exact"/>
        <w:ind w:firstLine="440"/>
        <w:jc w:val="both"/>
        <w:rPr>
          <w:color w:val="auto"/>
        </w:rPr>
      </w:pPr>
      <w:bookmarkStart w:id="622" w:name="bookmark1028"/>
      <w:r>
        <w:rPr>
          <w:color w:val="auto"/>
        </w:rPr>
        <w:t>六</w:t>
      </w:r>
      <w:bookmarkEnd w:id="622"/>
      <w:r>
        <w:rPr>
          <w:color w:val="auto"/>
        </w:rPr>
        <w:t>、读者必须遵守公安部《计算机信息网络国际联网安全保护管理办法》，不得利用国际互联网从事危害国家安全、制作、复制、查阅和传播封建迷信、淫秽、色情等违反法规和有关规定的活动；严禁创建、下载、安装、运行、传播病毒或黑客程序；不得非法使用并下载电子数据库文献资源。如有违反，</w:t>
      </w:r>
      <w:r>
        <w:rPr>
          <w:rFonts w:hint="eastAsia"/>
          <w:color w:val="auto"/>
        </w:rPr>
        <w:t>一</w:t>
      </w:r>
      <w:r>
        <w:rPr>
          <w:color w:val="auto"/>
        </w:rPr>
        <w:t>经发现，将根据事件的严重程度予以批评教育并按学校及图书馆有关规定处理。</w:t>
      </w:r>
    </w:p>
    <w:p>
      <w:pPr>
        <w:pStyle w:val="14"/>
        <w:tabs>
          <w:tab w:val="left" w:pos="493"/>
        </w:tabs>
        <w:spacing w:after="400" w:line="298" w:lineRule="exact"/>
        <w:ind w:firstLine="440"/>
        <w:jc w:val="both"/>
        <w:rPr>
          <w:color w:val="auto"/>
        </w:rPr>
      </w:pPr>
      <w:bookmarkStart w:id="623" w:name="bookmark1029"/>
      <w:r>
        <w:rPr>
          <w:color w:val="auto"/>
        </w:rPr>
        <w:t>七</w:t>
      </w:r>
      <w:bookmarkEnd w:id="623"/>
      <w:r>
        <w:rPr>
          <w:color w:val="auto"/>
        </w:rPr>
        <w:t>、本区域内研讨室可开展小型学术研讨活动，读者需带学生证到服务台预约，按照约定时间使用。读者在研讨室内不得从事与预约研讨主题及内容无关的活动，不得大声喧哗，不得擅自拆卸室内设施。</w:t>
      </w:r>
    </w:p>
    <w:p>
      <w:pPr>
        <w:pStyle w:val="18"/>
        <w:keepNext/>
        <w:keepLines/>
        <w:spacing w:after="560"/>
        <w:rPr>
          <w:b/>
          <w:bCs/>
          <w:color w:val="auto"/>
        </w:rPr>
      </w:pPr>
      <w:bookmarkStart w:id="624" w:name="bookmark1031"/>
      <w:bookmarkStart w:id="625" w:name="bookmark1032"/>
      <w:bookmarkStart w:id="626" w:name="bookmark1030"/>
      <w:r>
        <w:rPr>
          <w:b/>
          <w:bCs/>
          <w:color w:val="auto"/>
        </w:rPr>
        <w:t>保护书刊资料相关规定</w:t>
      </w:r>
      <w:bookmarkEnd w:id="624"/>
      <w:bookmarkEnd w:id="625"/>
      <w:bookmarkEnd w:id="626"/>
    </w:p>
    <w:p>
      <w:pPr>
        <w:pStyle w:val="22"/>
        <w:spacing w:after="120"/>
        <w:ind w:firstLine="420"/>
        <w:jc w:val="both"/>
        <w:rPr>
          <w:b/>
          <w:bCs/>
          <w:color w:val="auto"/>
        </w:rPr>
      </w:pPr>
      <w:bookmarkStart w:id="627" w:name="bookmark1033"/>
      <w:r>
        <w:rPr>
          <w:b/>
          <w:bCs/>
          <w:color w:val="auto"/>
        </w:rPr>
        <w:t>一</w:t>
      </w:r>
      <w:bookmarkEnd w:id="627"/>
      <w:r>
        <w:rPr>
          <w:b/>
          <w:bCs/>
          <w:color w:val="auto"/>
        </w:rPr>
        <w:t>、遗失图书处理规定</w:t>
      </w:r>
    </w:p>
    <w:p>
      <w:pPr>
        <w:pStyle w:val="14"/>
        <w:spacing w:after="240" w:line="293" w:lineRule="exact"/>
        <w:ind w:firstLine="420"/>
        <w:jc w:val="both"/>
        <w:rPr>
          <w:color w:val="auto"/>
        </w:rPr>
      </w:pPr>
      <w:r>
        <w:rPr>
          <w:color w:val="auto"/>
        </w:rPr>
        <w:t>丢失本馆书刊者，应以同版本新书及加工费</w:t>
      </w:r>
      <w:r>
        <w:rPr>
          <w:rFonts w:ascii="Times New Roman" w:hAnsi="Times New Roman" w:eastAsia="Times New Roman" w:cs="Times New Roman"/>
          <w:color w:val="auto"/>
          <w:sz w:val="20"/>
          <w:szCs w:val="20"/>
        </w:rPr>
        <w:t>2</w:t>
      </w:r>
      <w:r>
        <w:rPr>
          <w:color w:val="auto"/>
        </w:rPr>
        <w:t>元相抵赔，如无法以新书抵赔，则视书刊出版年，本馆复本量分别按原价的</w:t>
      </w:r>
      <w:r>
        <w:rPr>
          <w:rFonts w:ascii="Times New Roman" w:hAnsi="Times New Roman" w:eastAsia="Times New Roman" w:cs="Times New Roman"/>
          <w:color w:val="auto"/>
          <w:sz w:val="20"/>
          <w:szCs w:val="20"/>
        </w:rPr>
        <w:t>2~10</w:t>
      </w:r>
      <w:r>
        <w:rPr>
          <w:color w:val="auto"/>
        </w:rPr>
        <w:t>倍赔偿。在赔书过程中借书过期照章处理。</w:t>
      </w:r>
    </w:p>
    <w:p>
      <w:pPr>
        <w:pStyle w:val="22"/>
        <w:spacing w:after="120"/>
        <w:ind w:firstLine="420"/>
        <w:rPr>
          <w:b/>
          <w:bCs/>
          <w:color w:val="auto"/>
        </w:rPr>
      </w:pPr>
      <w:bookmarkStart w:id="628" w:name="bookmark1034"/>
      <w:r>
        <w:rPr>
          <w:b/>
          <w:bCs/>
          <w:color w:val="auto"/>
        </w:rPr>
        <w:t>二</w:t>
      </w:r>
      <w:bookmarkEnd w:id="628"/>
      <w:r>
        <w:rPr>
          <w:b/>
          <w:bCs/>
          <w:color w:val="auto"/>
        </w:rPr>
        <w:t>、损坏书刊处理规定</w:t>
      </w:r>
    </w:p>
    <w:p>
      <w:pPr>
        <w:pStyle w:val="14"/>
        <w:spacing w:line="302" w:lineRule="exact"/>
        <w:ind w:firstLine="420"/>
        <w:rPr>
          <w:color w:val="auto"/>
        </w:rPr>
      </w:pPr>
      <w:r>
        <w:rPr>
          <w:color w:val="auto"/>
        </w:rPr>
        <w:t>凡损坏书刊者，视损坏情况分别作出如下处理：</w:t>
      </w:r>
    </w:p>
    <w:p>
      <w:pPr>
        <w:pStyle w:val="14"/>
        <w:spacing w:line="302" w:lineRule="exact"/>
        <w:ind w:left="420" w:firstLine="0"/>
        <w:rPr>
          <w:color w:val="auto"/>
        </w:rPr>
      </w:pPr>
      <w:r>
        <w:rPr>
          <w:rFonts w:ascii="Times New Roman" w:hAnsi="Times New Roman" w:cs="Times New Roman"/>
          <w:color w:val="auto"/>
          <w:lang w:eastAsia="zh-CN"/>
        </w:rPr>
        <w:t>1.</w:t>
      </w:r>
      <w:r>
        <w:rPr>
          <w:color w:val="auto"/>
        </w:rPr>
        <w:t>损坏书刊经修复可继续使用的，由损坏者负责修理费</w:t>
      </w:r>
      <w:r>
        <w:rPr>
          <w:rFonts w:ascii="Times New Roman" w:hAnsi="Times New Roman" w:eastAsia="Times New Roman" w:cs="Times New Roman"/>
          <w:color w:val="auto"/>
          <w:sz w:val="20"/>
          <w:szCs w:val="20"/>
        </w:rPr>
        <w:t>2~10</w:t>
      </w:r>
      <w:r>
        <w:rPr>
          <w:color w:val="auto"/>
        </w:rPr>
        <w:t>元。</w:t>
      </w:r>
    </w:p>
    <w:p>
      <w:pPr>
        <w:pStyle w:val="14"/>
        <w:tabs>
          <w:tab w:val="left" w:pos="764"/>
        </w:tabs>
        <w:spacing w:line="302" w:lineRule="exact"/>
        <w:ind w:left="420" w:firstLine="0"/>
        <w:rPr>
          <w:color w:val="auto"/>
        </w:rPr>
      </w:pPr>
      <w:bookmarkStart w:id="629" w:name="bookmark1035"/>
      <w:bookmarkEnd w:id="629"/>
      <w:r>
        <w:rPr>
          <w:rFonts w:ascii="Times New Roman" w:hAnsi="Times New Roman" w:cs="Times New Roman"/>
          <w:color w:val="auto"/>
          <w:lang w:eastAsia="zh-CN"/>
        </w:rPr>
        <w:t>2.</w:t>
      </w:r>
      <w:r>
        <w:rPr>
          <w:color w:val="auto"/>
        </w:rPr>
        <w:t>损坏书刊无法修复的，按遗失图书处理规定赔偿。</w:t>
      </w:r>
    </w:p>
    <w:p>
      <w:pPr>
        <w:pStyle w:val="14"/>
        <w:tabs>
          <w:tab w:val="left" w:pos="764"/>
        </w:tabs>
        <w:spacing w:line="302" w:lineRule="exact"/>
        <w:ind w:left="420" w:firstLine="0"/>
        <w:rPr>
          <w:color w:val="auto"/>
        </w:rPr>
      </w:pPr>
      <w:bookmarkStart w:id="630" w:name="bookmark1036"/>
      <w:bookmarkEnd w:id="630"/>
      <w:r>
        <w:rPr>
          <w:rFonts w:hint="eastAsia" w:ascii="Times New Roman" w:hAnsi="Times New Roman" w:cs="Times New Roman"/>
          <w:color w:val="auto"/>
          <w:lang w:eastAsia="zh-CN"/>
        </w:rPr>
        <w:t>3</w:t>
      </w:r>
      <w:r>
        <w:rPr>
          <w:rFonts w:ascii="Times New Roman" w:hAnsi="Times New Roman" w:cs="Times New Roman"/>
          <w:color w:val="auto"/>
          <w:lang w:eastAsia="zh-CN"/>
        </w:rPr>
        <w:t>.</w:t>
      </w:r>
      <w:r>
        <w:rPr>
          <w:color w:val="auto"/>
        </w:rPr>
        <w:t>污损书刊，不影响其流通使用者，按</w:t>
      </w:r>
      <w:r>
        <w:rPr>
          <w:rFonts w:ascii="Times New Roman" w:hAnsi="Times New Roman" w:eastAsia="Times New Roman" w:cs="Times New Roman"/>
          <w:color w:val="auto"/>
          <w:sz w:val="20"/>
          <w:szCs w:val="20"/>
        </w:rPr>
        <w:t>2</w:t>
      </w:r>
      <w:r>
        <w:rPr>
          <w:color w:val="auto"/>
        </w:rPr>
        <w:t>元/页赔偿。</w:t>
      </w:r>
    </w:p>
    <w:p>
      <w:pPr>
        <w:pStyle w:val="14"/>
        <w:tabs>
          <w:tab w:val="left" w:pos="769"/>
        </w:tabs>
        <w:spacing w:line="302" w:lineRule="exact"/>
        <w:ind w:left="420" w:firstLine="0"/>
        <w:rPr>
          <w:color w:val="auto"/>
        </w:rPr>
      </w:pPr>
      <w:bookmarkStart w:id="631" w:name="bookmark1037"/>
      <w:bookmarkEnd w:id="631"/>
      <w:r>
        <w:rPr>
          <w:rFonts w:hint="eastAsia" w:ascii="Times New Roman" w:hAnsi="Times New Roman" w:cs="Times New Roman"/>
          <w:color w:val="auto"/>
          <w:lang w:eastAsia="zh-CN"/>
        </w:rPr>
        <w:t>4</w:t>
      </w:r>
      <w:r>
        <w:rPr>
          <w:rFonts w:ascii="Times New Roman" w:hAnsi="Times New Roman" w:cs="Times New Roman"/>
          <w:color w:val="auto"/>
          <w:lang w:eastAsia="zh-CN"/>
        </w:rPr>
        <w:t>.</w:t>
      </w:r>
      <w:r>
        <w:rPr>
          <w:color w:val="auto"/>
        </w:rPr>
        <w:t>污损书刊，无法继续流通使用者，按遗失图书处理规定赔偿。</w:t>
      </w:r>
    </w:p>
    <w:p>
      <w:pPr>
        <w:pStyle w:val="14"/>
        <w:tabs>
          <w:tab w:val="left" w:pos="769"/>
        </w:tabs>
        <w:spacing w:line="302" w:lineRule="exact"/>
        <w:ind w:left="420" w:firstLine="0"/>
        <w:rPr>
          <w:color w:val="auto"/>
        </w:rPr>
      </w:pPr>
      <w:bookmarkStart w:id="632" w:name="bookmark1038"/>
      <w:bookmarkEnd w:id="632"/>
      <w:r>
        <w:rPr>
          <w:rFonts w:hint="eastAsia" w:ascii="Times New Roman" w:hAnsi="Times New Roman" w:cs="Times New Roman"/>
          <w:color w:val="auto"/>
          <w:lang w:eastAsia="zh-CN"/>
        </w:rPr>
        <w:t>5</w:t>
      </w:r>
      <w:r>
        <w:rPr>
          <w:rFonts w:ascii="Times New Roman" w:hAnsi="Times New Roman" w:cs="Times New Roman"/>
          <w:color w:val="auto"/>
          <w:lang w:eastAsia="zh-CN"/>
        </w:rPr>
        <w:t>.</w:t>
      </w:r>
      <w:r>
        <w:rPr>
          <w:color w:val="auto"/>
        </w:rPr>
        <w:t>丢失或损坏书刊条形码者，须支付</w:t>
      </w:r>
      <w:r>
        <w:rPr>
          <w:rFonts w:ascii="Times New Roman" w:hAnsi="Times New Roman" w:eastAsia="Times New Roman" w:cs="Times New Roman"/>
          <w:color w:val="auto"/>
          <w:sz w:val="20"/>
          <w:szCs w:val="20"/>
        </w:rPr>
        <w:t>2</w:t>
      </w:r>
      <w:r>
        <w:rPr>
          <w:color w:val="auto"/>
        </w:rPr>
        <w:t>元/条加工费。</w:t>
      </w:r>
    </w:p>
    <w:p>
      <w:pPr>
        <w:pStyle w:val="14"/>
        <w:tabs>
          <w:tab w:val="left" w:pos="769"/>
        </w:tabs>
        <w:spacing w:after="240" w:line="302" w:lineRule="exact"/>
        <w:ind w:left="420" w:firstLine="0"/>
        <w:rPr>
          <w:color w:val="auto"/>
        </w:rPr>
      </w:pPr>
      <w:bookmarkStart w:id="633" w:name="bookmark1039"/>
      <w:bookmarkEnd w:id="633"/>
      <w:r>
        <w:rPr>
          <w:rFonts w:hint="eastAsia" w:ascii="Times New Roman" w:hAnsi="Times New Roman" w:cs="Times New Roman"/>
          <w:color w:val="auto"/>
          <w:lang w:eastAsia="zh-CN"/>
        </w:rPr>
        <w:t>6</w:t>
      </w:r>
      <w:r>
        <w:rPr>
          <w:rFonts w:ascii="Times New Roman" w:hAnsi="Times New Roman" w:cs="Times New Roman"/>
          <w:color w:val="auto"/>
          <w:lang w:eastAsia="zh-CN"/>
        </w:rPr>
        <w:t>.</w:t>
      </w:r>
      <w:r>
        <w:rPr>
          <w:color w:val="auto"/>
        </w:rPr>
        <w:t>本馆有权责令损坏书刊者作出书面检讨，并通知其所在单位作进一步处理。</w:t>
      </w:r>
    </w:p>
    <w:p>
      <w:pPr>
        <w:pStyle w:val="22"/>
        <w:spacing w:after="120"/>
        <w:ind w:firstLine="420"/>
        <w:rPr>
          <w:b/>
          <w:bCs/>
          <w:color w:val="auto"/>
        </w:rPr>
      </w:pPr>
      <w:bookmarkStart w:id="634" w:name="bookmark1040"/>
      <w:r>
        <w:rPr>
          <w:b/>
          <w:bCs/>
          <w:color w:val="auto"/>
        </w:rPr>
        <w:t>三</w:t>
      </w:r>
      <w:bookmarkEnd w:id="634"/>
      <w:r>
        <w:rPr>
          <w:b/>
          <w:bCs/>
          <w:color w:val="auto"/>
        </w:rPr>
        <w:t>、偷窃书刊处理规定</w:t>
      </w:r>
    </w:p>
    <w:p>
      <w:pPr>
        <w:pStyle w:val="14"/>
        <w:spacing w:line="302" w:lineRule="exact"/>
        <w:ind w:firstLine="420"/>
        <w:jc w:val="both"/>
        <w:rPr>
          <w:color w:val="auto"/>
        </w:rPr>
      </w:pPr>
      <w:r>
        <w:rPr>
          <w:color w:val="auto"/>
        </w:rPr>
        <w:t>将书刊资料等藏匿于身上，或利用其它不正当手段转移到馆外；盗（冒）用他人校园卡将外借书刊据为己有；</w:t>
      </w:r>
      <w:r>
        <w:rPr>
          <w:color w:val="auto"/>
          <w:lang w:val="zh-CN" w:eastAsia="zh-CN" w:bidi="zh-CN"/>
        </w:rPr>
        <w:t>“掉</w:t>
      </w:r>
      <w:r>
        <w:rPr>
          <w:color w:val="auto"/>
        </w:rPr>
        <w:t>包”还书，以废（旧）换好，私拆条码、磁条等均以偷书论处。</w:t>
      </w:r>
    </w:p>
    <w:p>
      <w:pPr>
        <w:pStyle w:val="14"/>
        <w:spacing w:after="180" w:line="302" w:lineRule="exact"/>
        <w:ind w:firstLine="420"/>
        <w:jc w:val="both"/>
        <w:rPr>
          <w:color w:val="auto"/>
          <w:sz w:val="20"/>
          <w:szCs w:val="20"/>
        </w:rPr>
        <w:sectPr>
          <w:type w:val="continuous"/>
          <w:pgSz w:w="9800" w:h="15120"/>
          <w:pgMar w:top="1043" w:right="652" w:bottom="987" w:left="663" w:header="0" w:footer="3" w:gutter="0"/>
          <w:pgNumType w:fmt="decimal"/>
          <w:cols w:space="720" w:num="1"/>
          <w:docGrid w:linePitch="360" w:charSpace="0"/>
        </w:sectPr>
      </w:pPr>
      <w:r>
        <w:rPr>
          <w:color w:val="auto"/>
        </w:rPr>
        <w:t>拆除一册书中的磁性材料赔偿</w:t>
      </w:r>
      <w:r>
        <w:rPr>
          <w:rFonts w:ascii="Times New Roman" w:hAnsi="Times New Roman" w:eastAsia="Times New Roman" w:cs="Times New Roman"/>
          <w:color w:val="auto"/>
          <w:sz w:val="20"/>
          <w:szCs w:val="20"/>
        </w:rPr>
        <w:t>30</w:t>
      </w:r>
      <w:r>
        <w:rPr>
          <w:color w:val="auto"/>
        </w:rPr>
        <w:t>元；拆除书中磁性材料并窃走者最少赔偿</w:t>
      </w:r>
      <w:r>
        <w:rPr>
          <w:rFonts w:ascii="Times New Roman" w:hAnsi="Times New Roman" w:eastAsia="Times New Roman" w:cs="Times New Roman"/>
          <w:color w:val="auto"/>
          <w:sz w:val="20"/>
          <w:szCs w:val="20"/>
        </w:rPr>
        <w:t>100</w:t>
      </w:r>
      <w:r>
        <w:rPr>
          <w:color w:val="auto"/>
        </w:rPr>
        <w:t>元。损坏条形码每条赔偿</w:t>
      </w:r>
      <w:r>
        <w:rPr>
          <w:rFonts w:ascii="Times New Roman" w:hAnsi="Times New Roman" w:eastAsia="Times New Roman" w:cs="Times New Roman"/>
          <w:color w:val="auto"/>
          <w:sz w:val="20"/>
          <w:szCs w:val="20"/>
        </w:rPr>
        <w:t>2</w:t>
      </w:r>
      <w:r>
        <w:rPr>
          <w:color w:val="auto"/>
        </w:rPr>
        <w:t>元；偷窃书刊者以原书刊价格</w:t>
      </w:r>
      <w:r>
        <w:rPr>
          <w:rFonts w:ascii="Times New Roman" w:hAnsi="Times New Roman" w:eastAsia="Times New Roman" w:cs="Times New Roman"/>
          <w:color w:val="auto"/>
          <w:sz w:val="20"/>
          <w:szCs w:val="20"/>
        </w:rPr>
        <w:t>10</w:t>
      </w:r>
      <w:r>
        <w:rPr>
          <w:color w:val="auto"/>
        </w:rPr>
        <w:t>倍赔偿，如</w:t>
      </w:r>
      <w:r>
        <w:rPr>
          <w:rFonts w:ascii="Times New Roman" w:hAnsi="Times New Roman" w:eastAsia="Times New Roman" w:cs="Times New Roman"/>
          <w:color w:val="auto"/>
          <w:sz w:val="20"/>
          <w:szCs w:val="20"/>
        </w:rPr>
        <w:t>10</w:t>
      </w:r>
      <w:r>
        <w:rPr>
          <w:color w:val="auto"/>
        </w:rPr>
        <w:t>倍赔偿总额低于</w:t>
      </w:r>
      <w:r>
        <w:rPr>
          <w:rFonts w:ascii="Times New Roman" w:hAnsi="Times New Roman" w:eastAsia="Times New Roman" w:cs="Times New Roman"/>
          <w:color w:val="auto"/>
          <w:sz w:val="20"/>
          <w:szCs w:val="20"/>
        </w:rPr>
        <w:t>50</w:t>
      </w:r>
      <w:r>
        <w:rPr>
          <w:color w:val="auto"/>
        </w:rPr>
        <w:t>元的则按</w:t>
      </w:r>
      <w:r>
        <w:rPr>
          <w:rFonts w:ascii="Times New Roman" w:hAnsi="Times New Roman" w:eastAsia="Times New Roman" w:cs="Times New Roman"/>
          <w:color w:val="auto"/>
          <w:sz w:val="20"/>
          <w:szCs w:val="20"/>
        </w:rPr>
        <w:t>50</w:t>
      </w:r>
      <w:r>
        <w:rPr>
          <w:color w:val="auto"/>
        </w:rPr>
        <w:t>元计价赔偿；报纸每份赔偿</w:t>
      </w:r>
      <w:r>
        <w:rPr>
          <w:rFonts w:ascii="Times New Roman" w:hAnsi="Times New Roman" w:eastAsia="Times New Roman" w:cs="Times New Roman"/>
          <w:color w:val="auto"/>
          <w:sz w:val="20"/>
          <w:szCs w:val="20"/>
        </w:rPr>
        <w:t>2</w:t>
      </w:r>
      <w:r>
        <w:rPr>
          <w:color w:val="auto"/>
        </w:rPr>
        <w:t>元。对偷窃书刊者还将给予严肃批评教育，责令写出书面检査，张榜公布单位、姓名。对情节严重、手段恶劣者报请学校有关部门处理，在处理期间本馆暂停其借阅权，处理完毕后暂停其借阅书刊三个月</w:t>
      </w:r>
      <w:r>
        <w:rPr>
          <w:rFonts w:hint="eastAsia"/>
          <w:color w:val="auto"/>
          <w:sz w:val="20"/>
          <w:szCs w:val="20"/>
          <w:lang w:val="en-US" w:eastAsia="zh-CN" w:bidi="en-US"/>
        </w:rPr>
        <w:t>。</w:t>
      </w:r>
    </w:p>
    <w:p>
      <w:pPr>
        <w:pStyle w:val="12"/>
        <w:keepNext/>
        <w:keepLines/>
        <w:spacing w:before="800" w:after="100" w:line="595" w:lineRule="exact"/>
        <w:rPr>
          <w:b/>
          <w:bCs/>
          <w:color w:val="auto"/>
          <w:highlight w:val="none"/>
        </w:rPr>
      </w:pPr>
      <w:bookmarkStart w:id="635" w:name="bookmark1042"/>
      <w:bookmarkStart w:id="636" w:name="bookmark1043"/>
      <w:bookmarkStart w:id="637" w:name="bookmark1041"/>
      <w:r>
        <w:rPr>
          <w:b/>
          <w:bCs/>
          <w:color w:val="auto"/>
          <w:highlight w:val="none"/>
        </w:rPr>
        <w:t>南京航空航天大学金城学院</w:t>
      </w:r>
      <w:r>
        <w:rPr>
          <w:b/>
          <w:bCs/>
          <w:color w:val="auto"/>
          <w:highlight w:val="none"/>
        </w:rPr>
        <w:br w:type="textWrapping"/>
      </w:r>
      <w:r>
        <w:rPr>
          <w:b/>
          <w:bCs/>
          <w:color w:val="auto"/>
          <w:highlight w:val="none"/>
        </w:rPr>
        <w:t>校园秩序管理实施细则</w:t>
      </w:r>
      <w:bookmarkEnd w:id="635"/>
      <w:bookmarkEnd w:id="636"/>
      <w:bookmarkEnd w:id="637"/>
    </w:p>
    <w:p>
      <w:pPr>
        <w:pStyle w:val="14"/>
        <w:spacing w:after="260" w:line="301" w:lineRule="exact"/>
        <w:ind w:firstLine="0"/>
        <w:jc w:val="center"/>
        <w:rPr>
          <w:color w:val="auto"/>
        </w:rPr>
      </w:pPr>
      <w:r>
        <w:rPr>
          <w:color w:val="auto"/>
        </w:rPr>
        <w:t>（试行）</w:t>
      </w:r>
    </w:p>
    <w:p>
      <w:pPr>
        <w:pStyle w:val="14"/>
        <w:spacing w:line="301" w:lineRule="exact"/>
        <w:ind w:firstLine="420"/>
        <w:jc w:val="both"/>
        <w:rPr>
          <w:color w:val="auto"/>
        </w:rPr>
      </w:pPr>
      <w:r>
        <w:rPr>
          <w:color w:val="auto"/>
        </w:rPr>
        <w:t>为了加强校园管理，建设优良、文明的校园环境，维护教学、科研、生活的正常秩序和安定团结的局面，建立有利于培养社会主义事业建设者和接班人的校园秩序，根据国家教委发布的《高等学校校园秩序管理若干规定》，结合本校实际，特制定本实施细则。</w:t>
      </w:r>
    </w:p>
    <w:p>
      <w:pPr>
        <w:pStyle w:val="14"/>
        <w:spacing w:line="301" w:lineRule="exact"/>
        <w:ind w:firstLine="420"/>
        <w:jc w:val="both"/>
        <w:rPr>
          <w:color w:val="auto"/>
        </w:rPr>
      </w:pPr>
      <w:r>
        <w:rPr>
          <w:b/>
          <w:bCs/>
          <w:color w:val="auto"/>
        </w:rPr>
        <w:t>第一条</w:t>
      </w:r>
      <w:r>
        <w:rPr>
          <w:color w:val="auto"/>
        </w:rPr>
        <w:t>严格门卫制度，进入学校的人员，必须持有本校的校徽、学生证、工作证、家属证以及</w:t>
      </w:r>
      <w:r>
        <w:rPr>
          <w:rFonts w:hint="eastAsia"/>
          <w:color w:val="auto"/>
          <w:lang w:eastAsia="zh-CN"/>
        </w:rPr>
        <w:t>后勤保卫处</w:t>
      </w:r>
      <w:r>
        <w:rPr>
          <w:color w:val="auto"/>
        </w:rPr>
        <w:t>发的临时出入证。未持有本校上述证件的人员进入学校，应当经接待室同意并登记后方可进入学校。</w:t>
      </w:r>
    </w:p>
    <w:p>
      <w:pPr>
        <w:pStyle w:val="14"/>
        <w:spacing w:line="301" w:lineRule="exact"/>
        <w:ind w:firstLine="420"/>
        <w:jc w:val="both"/>
        <w:rPr>
          <w:color w:val="auto"/>
        </w:rPr>
      </w:pPr>
      <w:r>
        <w:rPr>
          <w:b/>
          <w:bCs/>
          <w:color w:val="auto"/>
        </w:rPr>
        <w:t>第二条</w:t>
      </w:r>
      <w:r>
        <w:rPr>
          <w:color w:val="auto"/>
        </w:rPr>
        <w:t>新闻记者进入学校采访，必须持有记者证和采访介绍信，并经过校党政办同意后，方可进入学校采访。</w:t>
      </w:r>
    </w:p>
    <w:p>
      <w:pPr>
        <w:pStyle w:val="14"/>
        <w:spacing w:line="301" w:lineRule="exact"/>
        <w:ind w:firstLine="420"/>
        <w:jc w:val="both"/>
        <w:rPr>
          <w:color w:val="auto"/>
        </w:rPr>
      </w:pPr>
      <w:r>
        <w:rPr>
          <w:b/>
          <w:bCs/>
          <w:color w:val="auto"/>
        </w:rPr>
        <w:t>第三条</w:t>
      </w:r>
      <w:r>
        <w:rPr>
          <w:color w:val="auto"/>
        </w:rPr>
        <w:t>外国人、港澳台人员进入学校进行公务、业务活动，应当经过江苏省、南京市或有关部门同意并告知学校后，经学校党政办同意并报经学校主管领导批准后，方可进入学校。自行要求进入学校的外国人、港澳台人员，应当经过学校党政办批准同意后，方可进入学校。接受师生员工个人邀请进入学校探亲访友的外国人、港澳台人员，进入教学区须经所在学院或部门同意，报</w:t>
      </w:r>
      <w:r>
        <w:rPr>
          <w:rFonts w:hint="eastAsia"/>
          <w:color w:val="auto"/>
          <w:lang w:eastAsia="zh-CN"/>
        </w:rPr>
        <w:t>后勤保卫处</w:t>
      </w:r>
      <w:r>
        <w:rPr>
          <w:color w:val="auto"/>
        </w:rPr>
        <w:t>备案，在接待室履行登记手续后方可进入学校。</w:t>
      </w:r>
    </w:p>
    <w:p>
      <w:pPr>
        <w:pStyle w:val="14"/>
        <w:spacing w:line="301" w:lineRule="exact"/>
        <w:ind w:firstLine="420"/>
        <w:jc w:val="both"/>
        <w:rPr>
          <w:color w:val="auto"/>
        </w:rPr>
      </w:pPr>
      <w:r>
        <w:rPr>
          <w:b/>
          <w:bCs/>
          <w:color w:val="auto"/>
        </w:rPr>
        <w:t>第四条</w:t>
      </w:r>
      <w:r>
        <w:rPr>
          <w:color w:val="auto"/>
        </w:rPr>
        <w:t>依照第一、第二、第三条的规定进入学校的人员，应当遵守法律、法规和学校的规章制度，不得从事与其身份不符的活动，不得危害校园治安。</w:t>
      </w:r>
    </w:p>
    <w:p>
      <w:pPr>
        <w:pStyle w:val="14"/>
        <w:spacing w:line="301" w:lineRule="exact"/>
        <w:ind w:firstLine="420"/>
        <w:jc w:val="both"/>
        <w:rPr>
          <w:color w:val="auto"/>
        </w:rPr>
      </w:pPr>
      <w:r>
        <w:rPr>
          <w:b/>
          <w:bCs/>
          <w:color w:val="auto"/>
        </w:rPr>
        <w:t>第五条</w:t>
      </w:r>
      <w:r>
        <w:rPr>
          <w:color w:val="auto"/>
        </w:rPr>
        <w:t>学生宿舍不得留宿校外人员和留宿异性。在宿舍区不得大声喧哗、起哄。午休和晚上熄灯之后，必须保持宁静。禁止私拉电线，使用电炉、电热器具，不得存放易燃、易爆、剧毒物品，不得向窗外乱扔东西。</w:t>
      </w:r>
    </w:p>
    <w:p>
      <w:pPr>
        <w:pStyle w:val="14"/>
        <w:spacing w:line="301" w:lineRule="exact"/>
        <w:ind w:firstLine="420"/>
        <w:jc w:val="both"/>
        <w:rPr>
          <w:color w:val="auto"/>
        </w:rPr>
      </w:pPr>
      <w:r>
        <w:rPr>
          <w:b/>
          <w:bCs/>
          <w:color w:val="auto"/>
        </w:rPr>
        <w:t>第六条</w:t>
      </w:r>
      <w:r>
        <w:rPr>
          <w:color w:val="auto"/>
        </w:rPr>
        <w:t>爱护学校的公物和一草一木，禁止攀树、摘花、穿越草坪，禁止在花园搭帐篷、吊床等。除规定的运动场地外，校园其他地区一概不准打篮球、排球、网球或踢足球。保持学校环境宁静、卫生与安全。机动车在校内必须低速行驶，不准鸣喇叭，不准随意停放。</w:t>
      </w:r>
    </w:p>
    <w:p>
      <w:pPr>
        <w:pStyle w:val="14"/>
        <w:spacing w:line="301" w:lineRule="exact"/>
        <w:ind w:firstLine="420"/>
        <w:jc w:val="both"/>
        <w:rPr>
          <w:color w:val="auto"/>
        </w:rPr>
      </w:pPr>
      <w:r>
        <w:rPr>
          <w:color w:val="auto"/>
        </w:rPr>
        <w:t>在校园里工作、学习、生活的每一个人都应做到举止文明、行为检点，男女交往中禁止违法乱纪和伤风败俗的行为。</w:t>
      </w:r>
    </w:p>
    <w:p>
      <w:pPr>
        <w:pStyle w:val="14"/>
        <w:spacing w:line="301" w:lineRule="exact"/>
        <w:ind w:firstLine="420"/>
        <w:jc w:val="both"/>
        <w:rPr>
          <w:color w:val="auto"/>
        </w:rPr>
      </w:pPr>
      <w:r>
        <w:rPr>
          <w:b/>
          <w:bCs/>
          <w:color w:val="auto"/>
        </w:rPr>
        <w:t>第七条</w:t>
      </w:r>
      <w:r>
        <w:rPr>
          <w:color w:val="auto"/>
        </w:rPr>
        <w:t>进入教室、图书馆、大礼堂等公共场所，必须着装整齐、穿戴整齐，不得大声喧哗，不准吸烟，不准随地吐痰，不得从事影响教学、生活等校内正常秩序的一切活动。</w:t>
      </w:r>
    </w:p>
    <w:p>
      <w:pPr>
        <w:pStyle w:val="14"/>
        <w:spacing w:line="301" w:lineRule="exact"/>
        <w:ind w:firstLine="420"/>
        <w:jc w:val="both"/>
        <w:rPr>
          <w:color w:val="auto"/>
        </w:rPr>
      </w:pPr>
      <w:r>
        <w:rPr>
          <w:b/>
          <w:bCs/>
          <w:color w:val="auto"/>
        </w:rPr>
        <w:t>第八条</w:t>
      </w:r>
      <w:r>
        <w:rPr>
          <w:color w:val="auto"/>
        </w:rPr>
        <w:t>禁止打架斗殴、赌博、酗酒、聚众闹事，学生在校期间不准打麻将。</w:t>
      </w:r>
    </w:p>
    <w:p>
      <w:pPr>
        <w:pStyle w:val="14"/>
        <w:spacing w:line="301" w:lineRule="exact"/>
        <w:ind w:firstLine="420"/>
        <w:jc w:val="both"/>
        <w:rPr>
          <w:color w:val="auto"/>
        </w:rPr>
      </w:pPr>
      <w:r>
        <w:rPr>
          <w:b/>
          <w:bCs/>
          <w:color w:val="auto"/>
        </w:rPr>
        <w:t>第九条</w:t>
      </w:r>
      <w:r>
        <w:rPr>
          <w:color w:val="auto"/>
        </w:rPr>
        <w:t>校园内不得随意张贴公共广告，广告应当张贴在指定的广告栏内，公共广告栏由党政办统一管理。张贴、散发宣传品、印刷品，学生应经团委同意，教工应经党政办同意。禁止在校园内张贴大小字报，禁止张贴散发反对我国宪法确立的根本制度，损害国家利益或者侮辱</w:t>
      </w:r>
      <w:r>
        <w:rPr>
          <w:rFonts w:hint="eastAsia"/>
          <w:color w:val="auto"/>
        </w:rPr>
        <w:t>诽谤</w:t>
      </w:r>
      <w:r>
        <w:rPr>
          <w:color w:val="auto"/>
        </w:rPr>
        <w:t>他人的公开张贴物、宣传品和印刷品。</w:t>
      </w:r>
    </w:p>
    <w:p>
      <w:pPr>
        <w:pStyle w:val="14"/>
        <w:spacing w:line="301" w:lineRule="exact"/>
        <w:ind w:firstLine="420"/>
        <w:jc w:val="both"/>
        <w:rPr>
          <w:color w:val="auto"/>
        </w:rPr>
      </w:pPr>
      <w:r>
        <w:rPr>
          <w:b/>
          <w:bCs/>
          <w:color w:val="auto"/>
        </w:rPr>
        <w:t>第十条</w:t>
      </w:r>
      <w:r>
        <w:rPr>
          <w:color w:val="auto"/>
        </w:rPr>
        <w:t>在公共场所安装音响、广播、永久建筑物等设施，应由学校根据需要统一筹建，任何单位和个人均不得安装。任何组织和个人不得擅自使用学校广播、电视设施。如需使用，必须报请学校主管部门同意。</w:t>
      </w:r>
    </w:p>
    <w:p>
      <w:pPr>
        <w:pStyle w:val="14"/>
        <w:spacing w:line="301" w:lineRule="exact"/>
        <w:ind w:firstLine="420"/>
        <w:jc w:val="both"/>
        <w:rPr>
          <w:color w:val="auto"/>
        </w:rPr>
      </w:pPr>
      <w:r>
        <w:rPr>
          <w:b/>
          <w:bCs/>
          <w:color w:val="auto"/>
        </w:rPr>
        <w:t>第十一条</w:t>
      </w:r>
      <w:r>
        <w:rPr>
          <w:color w:val="auto"/>
        </w:rPr>
        <w:t>未经主管领导批准，不得在校内摆摊设点。禁止无照人员在校内经商，经批准设在校内的摊点必须在指定的地点经营。</w:t>
      </w:r>
    </w:p>
    <w:p>
      <w:pPr>
        <w:pStyle w:val="14"/>
        <w:spacing w:line="301" w:lineRule="exact"/>
        <w:ind w:firstLine="420"/>
        <w:jc w:val="both"/>
        <w:rPr>
          <w:color w:val="auto"/>
        </w:rPr>
      </w:pPr>
      <w:r>
        <w:rPr>
          <w:b/>
          <w:bCs/>
          <w:color w:val="auto"/>
        </w:rPr>
        <w:t>第十二条</w:t>
      </w:r>
      <w:r>
        <w:rPr>
          <w:color w:val="auto"/>
        </w:rPr>
        <w:t>在校内举行文化娱乐活动，不得干扰学校正常的教学、科研和生活秩序。教工未经党政办同意，学生未经团委同意，除周末和节、假日外不得组织集体性文娱活动。校外单位借用体育馆、操场等设施需经院党政办同意。</w:t>
      </w:r>
    </w:p>
    <w:p>
      <w:pPr>
        <w:pStyle w:val="14"/>
        <w:spacing w:line="301" w:lineRule="exact"/>
        <w:ind w:firstLine="420"/>
        <w:jc w:val="both"/>
        <w:rPr>
          <w:color w:val="auto"/>
        </w:rPr>
      </w:pPr>
      <w:r>
        <w:rPr>
          <w:b/>
          <w:bCs/>
          <w:color w:val="auto"/>
        </w:rPr>
        <w:t>第十三条</w:t>
      </w:r>
      <w:r>
        <w:rPr>
          <w:color w:val="auto"/>
        </w:rPr>
        <w:t>在校内举行非学校部门统一组织安排的集会、讲演等公共活动。组织者必须在七十二小时前向党政办提出申请，申请中应当说明活动的目的、人数、时间、地点和负责人的姓名。党政办应当至迟在举行时间的四小时前将许可或者不许可的决定通知组织者。逾期未通知的，视为许可。</w:t>
      </w:r>
    </w:p>
    <w:p>
      <w:pPr>
        <w:pStyle w:val="14"/>
        <w:spacing w:line="301" w:lineRule="exact"/>
        <w:ind w:firstLine="420"/>
        <w:jc w:val="both"/>
        <w:rPr>
          <w:color w:val="auto"/>
        </w:rPr>
      </w:pPr>
      <w:r>
        <w:rPr>
          <w:color w:val="auto"/>
        </w:rPr>
        <w:t>集会、讲演等活动应符合我国的教育方针和相应的法规、规章，不得反对我国宪法确立的根本制度，不得干扰学校的教学、科研和生活秩序，不得损害国家财产和其他公民的权利。</w:t>
      </w:r>
    </w:p>
    <w:p>
      <w:pPr>
        <w:pStyle w:val="14"/>
        <w:spacing w:line="301" w:lineRule="exact"/>
        <w:ind w:firstLine="420"/>
        <w:jc w:val="both"/>
        <w:rPr>
          <w:color w:val="auto"/>
        </w:rPr>
      </w:pPr>
      <w:r>
        <w:rPr>
          <w:b/>
          <w:bCs/>
          <w:color w:val="auto"/>
        </w:rPr>
        <w:t>第十四条</w:t>
      </w:r>
      <w:r>
        <w:rPr>
          <w:color w:val="auto"/>
        </w:rPr>
        <w:t>在校内组织教育计划之外的各种讲座、报告等室内活动，组织者应当在七十二小时前向主管部门提出申请，申请应当说明活动的内容、报告人和负责人的姓名，主管部门应当至迟在举行时间的四小时前将许可或者不许可的决定通知组织者。逾期未通知的，视为许可。</w:t>
      </w:r>
    </w:p>
    <w:p>
      <w:pPr>
        <w:pStyle w:val="14"/>
        <w:spacing w:line="301" w:lineRule="exact"/>
        <w:ind w:firstLine="420"/>
        <w:jc w:val="both"/>
        <w:rPr>
          <w:color w:val="auto"/>
        </w:rPr>
      </w:pPr>
      <w:r>
        <w:rPr>
          <w:color w:val="auto"/>
        </w:rPr>
        <w:t>编印小报和期刊必须办理审批手续，建立送审制度。</w:t>
      </w:r>
    </w:p>
    <w:p>
      <w:pPr>
        <w:pStyle w:val="14"/>
        <w:spacing w:line="301" w:lineRule="exact"/>
        <w:ind w:firstLine="420"/>
        <w:jc w:val="both"/>
        <w:rPr>
          <w:color w:val="auto"/>
        </w:rPr>
      </w:pPr>
      <w:r>
        <w:rPr>
          <w:color w:val="auto"/>
        </w:rPr>
        <w:t>讲座、报告等不得反对我国宪法确立的根本制度，不得违反我国的教育方针，不得宣传封建迷信，不得进行宗教活动，不得干扰学校的教学、科研和生活秩序。</w:t>
      </w:r>
    </w:p>
    <w:p>
      <w:pPr>
        <w:pStyle w:val="14"/>
        <w:spacing w:line="301" w:lineRule="exact"/>
        <w:ind w:firstLine="420"/>
        <w:jc w:val="both"/>
        <w:rPr>
          <w:color w:val="auto"/>
        </w:rPr>
      </w:pPr>
      <w:r>
        <w:rPr>
          <w:b/>
          <w:bCs/>
          <w:color w:val="auto"/>
        </w:rPr>
        <w:t>第十五条</w:t>
      </w:r>
      <w:r>
        <w:rPr>
          <w:color w:val="auto"/>
        </w:rPr>
        <w:t>师生员工组织社会团体，应当按照《社会团体登记管理条例》的规定办理。成立校内非社会团体的组织，应当在成立前由其组织者报请校主管部门同意并经主管领导批准，报校办备案，未经批准不得成立和开展活动。校内非社会团体的组织必须遵守法律、法规、规章，贯彻我国的教育方针和遵守学校的制度，接受学校的管理，不得进行超出其宗旨的活动。</w:t>
      </w:r>
    </w:p>
    <w:p>
      <w:pPr>
        <w:pStyle w:val="14"/>
        <w:spacing w:line="301" w:lineRule="exact"/>
        <w:ind w:firstLine="420"/>
        <w:jc w:val="both"/>
        <w:rPr>
          <w:color w:val="auto"/>
        </w:rPr>
      </w:pPr>
      <w:r>
        <w:rPr>
          <w:b/>
          <w:bCs/>
          <w:color w:val="auto"/>
        </w:rPr>
        <w:t>第十六条</w:t>
      </w:r>
      <w:r>
        <w:rPr>
          <w:color w:val="auto"/>
        </w:rPr>
        <w:t>对违反第一、第二、第三和第四条的人员，师生员工有权向</w:t>
      </w:r>
      <w:r>
        <w:rPr>
          <w:rFonts w:hint="eastAsia"/>
          <w:color w:val="auto"/>
          <w:lang w:eastAsia="zh-CN"/>
        </w:rPr>
        <w:t>后勤保卫处</w:t>
      </w:r>
      <w:r>
        <w:rPr>
          <w:color w:val="auto"/>
        </w:rPr>
        <w:t>报告，</w:t>
      </w:r>
      <w:r>
        <w:rPr>
          <w:rFonts w:hint="eastAsia"/>
          <w:color w:val="auto"/>
          <w:lang w:eastAsia="zh-CN"/>
        </w:rPr>
        <w:t>后勤保卫处</w:t>
      </w:r>
      <w:r>
        <w:rPr>
          <w:color w:val="auto"/>
        </w:rPr>
        <w:t>可以要求其说明情况或者责令离开学校。违反第五条第一款规定的，视情节轻重由</w:t>
      </w:r>
      <w:r>
        <w:rPr>
          <w:rFonts w:hint="eastAsia"/>
          <w:color w:val="auto"/>
          <w:lang w:eastAsia="zh-CN"/>
        </w:rPr>
        <w:t>后勤保卫处</w:t>
      </w:r>
      <w:r>
        <w:rPr>
          <w:color w:val="auto"/>
        </w:rPr>
        <w:t>给予教育直至送交</w:t>
      </w:r>
      <w:r>
        <w:rPr>
          <w:rFonts w:hint="eastAsia"/>
          <w:color w:val="auto"/>
          <w:lang w:eastAsia="zh-CN"/>
        </w:rPr>
        <w:t>后勤保卫处</w:t>
      </w:r>
      <w:r>
        <w:rPr>
          <w:color w:val="auto"/>
        </w:rPr>
        <w:t>处理</w:t>
      </w:r>
      <w:r>
        <w:rPr>
          <w:rFonts w:hint="eastAsia"/>
          <w:color w:val="auto"/>
        </w:rPr>
        <w:t>；</w:t>
      </w:r>
      <w:r>
        <w:rPr>
          <w:color w:val="auto"/>
        </w:rPr>
        <w:t>违反第五条第二款规定的，由</w:t>
      </w:r>
      <w:r>
        <w:rPr>
          <w:rFonts w:hint="eastAsia"/>
          <w:color w:val="auto"/>
          <w:lang w:eastAsia="zh-CN"/>
        </w:rPr>
        <w:t>后勤保卫处</w:t>
      </w:r>
      <w:r>
        <w:rPr>
          <w:color w:val="auto"/>
        </w:rPr>
        <w:t>视情节轻重予以制止、没收、罚款，直至提请有关部门给予行政处分。</w:t>
      </w:r>
    </w:p>
    <w:p>
      <w:pPr>
        <w:pStyle w:val="14"/>
        <w:spacing w:line="301" w:lineRule="exact"/>
        <w:ind w:firstLine="420"/>
        <w:jc w:val="both"/>
        <w:rPr>
          <w:color w:val="auto"/>
        </w:rPr>
      </w:pPr>
      <w:r>
        <w:rPr>
          <w:color w:val="auto"/>
        </w:rPr>
        <w:t>违反第六条者，由后勤管理处以及有关单位视情节轻重给以制止、罚款，直至提请所属单位给予行政处分；违反第八条第一款者，后勤管理处有权予以清除，并按有关规定处理</w:t>
      </w:r>
      <w:r>
        <w:rPr>
          <w:rFonts w:hint="eastAsia"/>
          <w:color w:val="auto"/>
        </w:rPr>
        <w:t>；</w:t>
      </w:r>
      <w:r>
        <w:rPr>
          <w:color w:val="auto"/>
        </w:rPr>
        <w:t>违反第十条者，</w:t>
      </w:r>
      <w:r>
        <w:rPr>
          <w:rFonts w:hint="eastAsia"/>
          <w:color w:val="auto"/>
          <w:lang w:eastAsia="zh-CN"/>
        </w:rPr>
        <w:t>后勤保卫处</w:t>
      </w:r>
      <w:r>
        <w:rPr>
          <w:color w:val="auto"/>
        </w:rPr>
        <w:t>限令其停业或离开校园，不服从者没收其物品、器具或罚款。</w:t>
      </w:r>
    </w:p>
    <w:p>
      <w:pPr>
        <w:pStyle w:val="14"/>
        <w:spacing w:line="301" w:lineRule="exact"/>
        <w:ind w:firstLine="420"/>
        <w:jc w:val="both"/>
        <w:rPr>
          <w:color w:val="auto"/>
        </w:rPr>
      </w:pPr>
      <w:r>
        <w:rPr>
          <w:color w:val="auto"/>
        </w:rPr>
        <w:t>违反第八条第二款者，由</w:t>
      </w:r>
      <w:r>
        <w:rPr>
          <w:rFonts w:hint="eastAsia"/>
          <w:color w:val="auto"/>
          <w:lang w:eastAsia="zh-CN"/>
        </w:rPr>
        <w:t>后勤保卫处</w:t>
      </w:r>
      <w:r>
        <w:rPr>
          <w:color w:val="auto"/>
        </w:rPr>
        <w:t>送司法机关依法追究法律责任；违反第七条者，</w:t>
      </w:r>
      <w:r>
        <w:rPr>
          <w:rFonts w:hint="eastAsia"/>
          <w:color w:val="auto"/>
          <w:lang w:eastAsia="zh-CN"/>
        </w:rPr>
        <w:t>后勤保卫处</w:t>
      </w:r>
      <w:r>
        <w:rPr>
          <w:color w:val="auto"/>
        </w:rPr>
        <w:t>、学生工作处等有关部门视情节轻重给予制止、没收、罚款、直至提请所属单位给予行政处分，或由</w:t>
      </w:r>
      <w:r>
        <w:rPr>
          <w:rFonts w:hint="eastAsia"/>
          <w:color w:val="auto"/>
          <w:lang w:eastAsia="zh-CN"/>
        </w:rPr>
        <w:t>后勤保卫处</w:t>
      </w:r>
      <w:r>
        <w:rPr>
          <w:color w:val="auto"/>
        </w:rPr>
        <w:t>送交公安机关、司法机关处理。</w:t>
      </w:r>
    </w:p>
    <w:p>
      <w:pPr>
        <w:pStyle w:val="14"/>
        <w:spacing w:line="301" w:lineRule="exact"/>
        <w:ind w:firstLine="420"/>
        <w:jc w:val="both"/>
        <w:rPr>
          <w:color w:val="auto"/>
        </w:rPr>
      </w:pPr>
      <w:r>
        <w:rPr>
          <w:color w:val="auto"/>
        </w:rPr>
        <w:t>违反第九、十、十二、十三和第十四条规定的，校各主管部门有权责令其组织者及其他当事人立即停止活动，并按有关规定予以处理。</w:t>
      </w:r>
    </w:p>
    <w:p>
      <w:pPr>
        <w:pStyle w:val="14"/>
        <w:spacing w:line="301" w:lineRule="exact"/>
        <w:ind w:firstLine="420"/>
        <w:jc w:val="both"/>
        <w:rPr>
          <w:color w:val="auto"/>
        </w:rPr>
      </w:pPr>
      <w:r>
        <w:rPr>
          <w:b/>
          <w:bCs/>
          <w:color w:val="auto"/>
        </w:rPr>
        <w:t>第十七条</w:t>
      </w:r>
      <w:r>
        <w:rPr>
          <w:color w:val="auto"/>
        </w:rPr>
        <w:t>学校的师生员工（包括外籍教师）以及其他到学校活动的人员都应当遵守本规定，维护宪法确立的根本制度和国家利益，维护学校的教学、科研和生活秩序。学校尊重和维护师生员工的人身权利、政治权利、教育和受教育的权利以及法律规定的其它权利。</w:t>
      </w:r>
    </w:p>
    <w:p>
      <w:pPr>
        <w:pStyle w:val="14"/>
        <w:spacing w:line="301" w:lineRule="exact"/>
        <w:ind w:firstLine="420"/>
        <w:jc w:val="both"/>
        <w:rPr>
          <w:color w:val="auto"/>
        </w:rPr>
      </w:pPr>
      <w:r>
        <w:rPr>
          <w:color w:val="auto"/>
        </w:rPr>
        <w:t>学校有关职能部门应当依照本细则加强校园管理，采取措施，及时有效地预防和制止校内的违反法律、法规、校规的活动，履行职责。</w:t>
      </w:r>
    </w:p>
    <w:p>
      <w:pPr>
        <w:pStyle w:val="14"/>
        <w:spacing w:line="301" w:lineRule="exact"/>
        <w:ind w:firstLine="420"/>
        <w:jc w:val="both"/>
        <w:rPr>
          <w:color w:val="auto"/>
        </w:rPr>
      </w:pPr>
      <w:r>
        <w:rPr>
          <w:b/>
          <w:bCs/>
          <w:color w:val="auto"/>
        </w:rPr>
        <w:t>第十八条</w:t>
      </w:r>
      <w:r>
        <w:rPr>
          <w:color w:val="auto"/>
        </w:rPr>
        <w:t>对违反本细则，经过劝告、制止仍不改正的人员视情节给予行政处分或者纪律处分，属于违反治安管理条例的，交由公安机关依法处理，构成犯罪的，由司法机关处理。</w:t>
      </w:r>
    </w:p>
    <w:p>
      <w:pPr>
        <w:pStyle w:val="14"/>
        <w:spacing w:line="301" w:lineRule="exact"/>
        <w:ind w:firstLine="420"/>
        <w:jc w:val="both"/>
        <w:rPr>
          <w:color w:val="auto"/>
        </w:rPr>
      </w:pPr>
      <w:r>
        <w:rPr>
          <w:b/>
          <w:bCs/>
          <w:color w:val="auto"/>
        </w:rPr>
        <w:t>第十九条</w:t>
      </w:r>
      <w:r>
        <w:rPr>
          <w:color w:val="auto"/>
        </w:rPr>
        <w:t>师生员工或有关人员对学校处分不服的，可提出申诉。</w:t>
      </w:r>
    </w:p>
    <w:p>
      <w:pPr>
        <w:pStyle w:val="14"/>
        <w:spacing w:line="301" w:lineRule="exact"/>
        <w:ind w:firstLine="420"/>
        <w:jc w:val="both"/>
        <w:rPr>
          <w:color w:val="auto"/>
        </w:rPr>
      </w:pPr>
      <w:r>
        <w:rPr>
          <w:b/>
          <w:bCs/>
          <w:color w:val="auto"/>
        </w:rPr>
        <w:t>第二十条</w:t>
      </w:r>
      <w:r>
        <w:rPr>
          <w:color w:val="auto"/>
        </w:rPr>
        <w:t>本细则解释权在南京航空航天大学金城学院校长办公室。</w:t>
      </w:r>
      <w:bookmarkStart w:id="638" w:name="bookmark1045"/>
      <w:bookmarkStart w:id="639" w:name="bookmark1046"/>
      <w:bookmarkStart w:id="640" w:name="bookmark1044"/>
    </w:p>
    <w:p>
      <w:pPr>
        <w:rPr>
          <w:color w:val="auto"/>
          <w:lang w:eastAsia="zh-CN"/>
        </w:rPr>
      </w:pPr>
      <w:r>
        <w:rPr>
          <w:color w:val="auto"/>
          <w:lang w:eastAsia="zh-CN"/>
        </w:rPr>
        <w:br w:type="page"/>
      </w:r>
    </w:p>
    <w:bookmarkEnd w:id="638"/>
    <w:bookmarkEnd w:id="639"/>
    <w:bookmarkEnd w:id="640"/>
    <w:p>
      <w:pPr>
        <w:pStyle w:val="12"/>
        <w:keepNext/>
        <w:keepLines/>
        <w:spacing w:before="0" w:after="380" w:line="586" w:lineRule="exact"/>
        <w:rPr>
          <w:b/>
          <w:bCs/>
          <w:color w:val="auto"/>
          <w:highlight w:val="none"/>
        </w:rPr>
      </w:pPr>
      <w:r>
        <w:rPr>
          <w:b/>
          <w:bCs/>
          <w:color w:val="auto"/>
          <w:highlight w:val="none"/>
        </w:rPr>
        <w:t>南京航空航天大学金城学院</w:t>
      </w:r>
      <w:r>
        <w:rPr>
          <w:b/>
          <w:bCs/>
          <w:color w:val="auto"/>
          <w:highlight w:val="none"/>
        </w:rPr>
        <w:br w:type="textWrapping"/>
      </w:r>
      <w:r>
        <w:rPr>
          <w:b/>
          <w:bCs/>
          <w:color w:val="auto"/>
          <w:highlight w:val="none"/>
        </w:rPr>
        <w:t>门卫管理规定</w:t>
      </w:r>
    </w:p>
    <w:p>
      <w:pPr>
        <w:pStyle w:val="14"/>
        <w:spacing w:line="301" w:lineRule="exact"/>
        <w:ind w:firstLine="440"/>
        <w:jc w:val="both"/>
        <w:rPr>
          <w:color w:val="auto"/>
        </w:rPr>
      </w:pPr>
      <w:r>
        <w:rPr>
          <w:rFonts w:hint="eastAsia"/>
          <w:color w:val="auto"/>
        </w:rPr>
        <w:t>一</w:t>
      </w:r>
      <w:r>
        <w:rPr>
          <w:color w:val="auto"/>
        </w:rPr>
        <w:t>、本校师生员工凭工作证、学生证或校徽等有效证件进入校门。</w:t>
      </w:r>
    </w:p>
    <w:p>
      <w:pPr>
        <w:pStyle w:val="14"/>
        <w:spacing w:line="301" w:lineRule="exact"/>
        <w:ind w:firstLine="440"/>
        <w:jc w:val="both"/>
        <w:rPr>
          <w:color w:val="auto"/>
        </w:rPr>
      </w:pPr>
      <w:bookmarkStart w:id="641" w:name="bookmark1047"/>
      <w:r>
        <w:rPr>
          <w:color w:val="auto"/>
        </w:rPr>
        <w:t>二</w:t>
      </w:r>
      <w:bookmarkEnd w:id="641"/>
      <w:r>
        <w:rPr>
          <w:color w:val="auto"/>
        </w:rPr>
        <w:t>、来我校进修、培训、施工等临时工作人员凭《临时出入证》进入校门。</w:t>
      </w:r>
    </w:p>
    <w:p>
      <w:pPr>
        <w:pStyle w:val="14"/>
        <w:spacing w:line="301" w:lineRule="exact"/>
        <w:ind w:firstLine="440"/>
        <w:jc w:val="both"/>
        <w:rPr>
          <w:color w:val="auto"/>
        </w:rPr>
      </w:pPr>
      <w:bookmarkStart w:id="642" w:name="bookmark1048"/>
      <w:r>
        <w:rPr>
          <w:color w:val="auto"/>
        </w:rPr>
        <w:t>三</w:t>
      </w:r>
      <w:bookmarkEnd w:id="642"/>
      <w:r>
        <w:rPr>
          <w:color w:val="auto"/>
        </w:rPr>
        <w:t>、外单位人员来校联系工作，必须凭介绍信或有关证件到接待室填写《会客单》后方可进入，出门时应将被访人签字的会客单交给门卫。</w:t>
      </w:r>
    </w:p>
    <w:p>
      <w:pPr>
        <w:pStyle w:val="14"/>
        <w:spacing w:line="301" w:lineRule="exact"/>
        <w:ind w:firstLine="440"/>
        <w:jc w:val="both"/>
        <w:rPr>
          <w:color w:val="auto"/>
        </w:rPr>
      </w:pPr>
      <w:bookmarkStart w:id="643" w:name="bookmark1049"/>
      <w:r>
        <w:rPr>
          <w:color w:val="auto"/>
        </w:rPr>
        <w:t>四</w:t>
      </w:r>
      <w:bookmarkEnd w:id="643"/>
      <w:r>
        <w:rPr>
          <w:color w:val="auto"/>
        </w:rPr>
        <w:t>、本校机动车辆凭《南航金城学院机动车车辆通行证》进入校区。</w:t>
      </w:r>
    </w:p>
    <w:p>
      <w:pPr>
        <w:pStyle w:val="14"/>
        <w:spacing w:line="301" w:lineRule="exact"/>
        <w:ind w:firstLine="440"/>
        <w:jc w:val="both"/>
        <w:rPr>
          <w:color w:val="auto"/>
        </w:rPr>
      </w:pPr>
      <w:bookmarkStart w:id="644" w:name="bookmark1050"/>
      <w:r>
        <w:rPr>
          <w:color w:val="auto"/>
        </w:rPr>
        <w:t>五</w:t>
      </w:r>
      <w:bookmarkEnd w:id="644"/>
      <w:r>
        <w:rPr>
          <w:color w:val="auto"/>
        </w:rPr>
        <w:t>、临时来校的机动车，经允许更换《南航金城学院机动车车辆临时通行证》后方可进入校区，“临时通行证”进入校园车辆必须在当日</w:t>
      </w:r>
      <w:r>
        <w:rPr>
          <w:rFonts w:ascii="Times New Roman" w:hAnsi="Times New Roman" w:eastAsia="Times New Roman" w:cs="Times New Roman"/>
          <w:color w:val="auto"/>
          <w:sz w:val="20"/>
          <w:szCs w:val="20"/>
        </w:rPr>
        <w:t>22:00</w:t>
      </w:r>
      <w:r>
        <w:rPr>
          <w:color w:val="auto"/>
        </w:rPr>
        <w:t>前离开校园。校外车辆禁止通行时间为：工作日上午</w:t>
      </w:r>
      <w:r>
        <w:rPr>
          <w:rFonts w:ascii="Times New Roman" w:hAnsi="Times New Roman" w:eastAsia="Times New Roman" w:cs="Times New Roman"/>
          <w:color w:val="auto"/>
          <w:sz w:val="20"/>
          <w:szCs w:val="20"/>
          <w:lang w:val="en-US" w:eastAsia="zh-CN" w:bidi="en-US"/>
        </w:rPr>
        <w:t>10:20-10:40</w:t>
      </w:r>
      <w:r>
        <w:rPr>
          <w:color w:val="auto"/>
        </w:rPr>
        <w:t>时、中午</w:t>
      </w:r>
      <w:r>
        <w:rPr>
          <w:rFonts w:ascii="Times New Roman" w:hAnsi="Times New Roman" w:eastAsia="Times New Roman" w:cs="Times New Roman"/>
          <w:color w:val="auto"/>
          <w:sz w:val="20"/>
          <w:szCs w:val="20"/>
          <w:lang w:val="en-US" w:eastAsia="zh-CN" w:bidi="en-US"/>
        </w:rPr>
        <w:t>12:20-12:40</w:t>
      </w:r>
      <w:r>
        <w:rPr>
          <w:color w:val="auto"/>
        </w:rPr>
        <w:t>时、下午</w:t>
      </w:r>
      <w:r>
        <w:rPr>
          <w:rFonts w:ascii="Times New Roman" w:hAnsi="Times New Roman" w:eastAsia="Times New Roman" w:cs="Times New Roman"/>
          <w:color w:val="auto"/>
          <w:sz w:val="20"/>
          <w:szCs w:val="20"/>
          <w:lang w:val="en-US" w:eastAsia="zh-CN" w:bidi="en-US"/>
        </w:rPr>
        <w:t>15:35-15:55</w:t>
      </w:r>
      <w:r>
        <w:rPr>
          <w:color w:val="auto"/>
        </w:rPr>
        <w:t>时。晚</w:t>
      </w:r>
      <w:r>
        <w:rPr>
          <w:rFonts w:ascii="Times New Roman" w:hAnsi="Times New Roman" w:eastAsia="Times New Roman" w:cs="Times New Roman"/>
          <w:color w:val="auto"/>
          <w:sz w:val="20"/>
          <w:szCs w:val="20"/>
        </w:rPr>
        <w:t>19:00</w:t>
      </w:r>
      <w:r>
        <w:rPr>
          <w:color w:val="auto"/>
        </w:rPr>
        <w:t>时后校外车辆禁止进入校园。</w:t>
      </w:r>
    </w:p>
    <w:p>
      <w:pPr>
        <w:pStyle w:val="14"/>
        <w:spacing w:line="301" w:lineRule="exact"/>
        <w:ind w:firstLine="440"/>
        <w:jc w:val="both"/>
        <w:rPr>
          <w:color w:val="auto"/>
        </w:rPr>
      </w:pPr>
      <w:bookmarkStart w:id="645" w:name="bookmark1051"/>
      <w:r>
        <w:rPr>
          <w:color w:val="auto"/>
        </w:rPr>
        <w:t>六</w:t>
      </w:r>
      <w:bookmarkEnd w:id="645"/>
      <w:r>
        <w:rPr>
          <w:color w:val="auto"/>
        </w:rPr>
        <w:t>、长期来往学校的机动车，需办理《南航金城学院机动车车辆通行证》进入校区。</w:t>
      </w:r>
    </w:p>
    <w:p>
      <w:pPr>
        <w:pStyle w:val="14"/>
        <w:spacing w:line="304" w:lineRule="exact"/>
        <w:ind w:firstLine="440"/>
        <w:jc w:val="both"/>
        <w:rPr>
          <w:color w:val="auto"/>
        </w:rPr>
      </w:pPr>
      <w:bookmarkStart w:id="646" w:name="bookmark1052"/>
      <w:r>
        <w:rPr>
          <w:color w:val="auto"/>
        </w:rPr>
        <w:t>七</w:t>
      </w:r>
      <w:bookmarkEnd w:id="646"/>
      <w:r>
        <w:rPr>
          <w:color w:val="auto"/>
        </w:rPr>
        <w:t>、社会车辆不允许停放在校门口禁停区内。</w:t>
      </w:r>
    </w:p>
    <w:p>
      <w:pPr>
        <w:pStyle w:val="14"/>
        <w:spacing w:line="304" w:lineRule="exact"/>
        <w:ind w:firstLine="440"/>
        <w:jc w:val="both"/>
        <w:rPr>
          <w:color w:val="auto"/>
        </w:rPr>
      </w:pPr>
      <w:bookmarkStart w:id="647" w:name="bookmark1053"/>
      <w:r>
        <w:rPr>
          <w:color w:val="auto"/>
        </w:rPr>
        <w:t>八</w:t>
      </w:r>
      <w:bookmarkEnd w:id="647"/>
      <w:r>
        <w:rPr>
          <w:color w:val="auto"/>
        </w:rPr>
        <w:t>、严禁翻越学校大门和围墙，学生未经允许，晚上</w:t>
      </w:r>
      <w:r>
        <w:rPr>
          <w:rFonts w:ascii="Times New Roman" w:hAnsi="Times New Roman" w:eastAsia="Times New Roman" w:cs="Times New Roman"/>
          <w:color w:val="auto"/>
          <w:sz w:val="20"/>
          <w:szCs w:val="20"/>
        </w:rPr>
        <w:t>23</w:t>
      </w:r>
      <w:r>
        <w:rPr>
          <w:color w:val="auto"/>
        </w:rPr>
        <w:t>点以后不得外出。</w:t>
      </w:r>
    </w:p>
    <w:p>
      <w:pPr>
        <w:pStyle w:val="14"/>
        <w:spacing w:line="304" w:lineRule="exact"/>
        <w:ind w:firstLine="440"/>
        <w:jc w:val="both"/>
        <w:rPr>
          <w:color w:val="auto"/>
        </w:rPr>
      </w:pPr>
      <w:bookmarkStart w:id="648" w:name="bookmark1054"/>
      <w:r>
        <w:rPr>
          <w:color w:val="auto"/>
        </w:rPr>
        <w:t>九</w:t>
      </w:r>
      <w:bookmarkEnd w:id="648"/>
      <w:r>
        <w:rPr>
          <w:color w:val="auto"/>
        </w:rPr>
        <w:t>、除特殊原因外，我校学生不得在本院校园内使用机动车辆及非机动车辆。</w:t>
      </w:r>
    </w:p>
    <w:p>
      <w:pPr>
        <w:pStyle w:val="14"/>
        <w:spacing w:line="304" w:lineRule="exact"/>
        <w:ind w:firstLine="440"/>
        <w:jc w:val="both"/>
        <w:rPr>
          <w:color w:val="auto"/>
        </w:rPr>
      </w:pPr>
      <w:r>
        <w:rPr>
          <w:color w:val="auto"/>
        </w:rPr>
        <w:t>十、凡携带公物出门必须主动接受门卫检查，出示主管部门签发的《物品出门证》；携带私人物品出门，应主动出示购物发票或证件，经查验同意后放行。</w:t>
      </w:r>
    </w:p>
    <w:p>
      <w:pPr>
        <w:pStyle w:val="14"/>
        <w:spacing w:line="304" w:lineRule="exact"/>
        <w:ind w:firstLine="440"/>
        <w:jc w:val="both"/>
        <w:rPr>
          <w:color w:val="auto"/>
        </w:rPr>
      </w:pPr>
      <w:r>
        <w:rPr>
          <w:color w:val="auto"/>
        </w:rPr>
        <w:t>十一、各种商贩未经允许一律不准进入校园；校门口值勤区内禁止摆设摊点。严禁校外送餐人员进入校内，学生订购的外卖须由学生本人到校门口自行领取。</w:t>
      </w:r>
    </w:p>
    <w:p>
      <w:pPr>
        <w:pStyle w:val="14"/>
        <w:spacing w:line="304" w:lineRule="exact"/>
        <w:ind w:firstLine="440"/>
        <w:jc w:val="both"/>
        <w:rPr>
          <w:color w:val="auto"/>
        </w:rPr>
      </w:pPr>
      <w:r>
        <w:rPr>
          <w:color w:val="auto"/>
        </w:rPr>
        <w:t>十二、门岗值勤时要着装整齐，臂章、徽标齐全</w:t>
      </w:r>
      <w:r>
        <w:rPr>
          <w:rFonts w:hint="eastAsia"/>
          <w:color w:val="auto"/>
        </w:rPr>
        <w:t>；</w:t>
      </w:r>
      <w:r>
        <w:rPr>
          <w:color w:val="auto"/>
        </w:rPr>
        <w:t>值勤时严格管理、不徇私情、按章办事、热情服务。</w:t>
      </w:r>
    </w:p>
    <w:p>
      <w:pPr>
        <w:pStyle w:val="14"/>
        <w:spacing w:line="304" w:lineRule="exact"/>
        <w:ind w:firstLine="440"/>
        <w:jc w:val="both"/>
        <w:rPr>
          <w:color w:val="auto"/>
        </w:rPr>
      </w:pPr>
      <w:r>
        <w:rPr>
          <w:color w:val="auto"/>
        </w:rPr>
        <w:t>十三、对违反本规定又不听劝告、无理取闹、妨碍门卫正常值勤的，学校视情节给予批评教育或按有关规定处理。</w:t>
      </w:r>
    </w:p>
    <w:p>
      <w:pPr>
        <w:pStyle w:val="14"/>
        <w:spacing w:after="180" w:line="304" w:lineRule="exact"/>
        <w:ind w:firstLine="440"/>
        <w:jc w:val="both"/>
        <w:rPr>
          <w:color w:val="auto"/>
        </w:rPr>
        <w:sectPr>
          <w:pgSz w:w="9800" w:h="15120"/>
          <w:pgMar w:top="1043" w:right="652" w:bottom="987" w:left="663" w:header="0" w:footer="3" w:gutter="0"/>
          <w:pgNumType w:fmt="decimal"/>
          <w:cols w:space="720" w:num="1"/>
          <w:docGrid w:linePitch="360" w:charSpace="0"/>
        </w:sectPr>
      </w:pPr>
      <w:r>
        <w:rPr>
          <w:color w:val="auto"/>
        </w:rPr>
        <w:t>十四、本规定的解释权属南航金城学院</w:t>
      </w:r>
      <w:r>
        <w:rPr>
          <w:rFonts w:hint="eastAsia"/>
          <w:color w:val="auto"/>
          <w:lang w:eastAsia="zh-CN"/>
        </w:rPr>
        <w:t>后勤保卫处</w:t>
      </w:r>
      <w:r>
        <w:rPr>
          <w:color w:val="auto"/>
        </w:rPr>
        <w:t>。</w:t>
      </w:r>
    </w:p>
    <w:p>
      <w:pPr>
        <w:pStyle w:val="12"/>
        <w:keepNext/>
        <w:keepLines/>
        <w:spacing w:before="0" w:after="160" w:line="240" w:lineRule="auto"/>
        <w:rPr>
          <w:b/>
          <w:bCs/>
          <w:color w:val="auto"/>
        </w:rPr>
      </w:pPr>
      <w:bookmarkStart w:id="649" w:name="bookmark1056"/>
      <w:bookmarkStart w:id="650" w:name="bookmark1055"/>
      <w:bookmarkStart w:id="651" w:name="bookmark1057"/>
      <w:r>
        <w:rPr>
          <w:b/>
          <w:bCs/>
          <w:color w:val="auto"/>
        </w:rPr>
        <w:t>学生事务服务中心服务指南</w:t>
      </w:r>
      <w:bookmarkEnd w:id="649"/>
      <w:bookmarkEnd w:id="650"/>
      <w:bookmarkEnd w:id="651"/>
    </w:p>
    <w:p>
      <w:pPr>
        <w:pStyle w:val="14"/>
        <w:spacing w:line="302" w:lineRule="exact"/>
        <w:ind w:firstLine="420"/>
        <w:jc w:val="both"/>
        <w:rPr>
          <w:color w:val="auto"/>
        </w:rPr>
      </w:pPr>
      <w:r>
        <w:rPr>
          <w:color w:val="auto"/>
        </w:rPr>
        <w:t>南航金城学院学生事务服务中心是以</w:t>
      </w:r>
      <w:r>
        <w:rPr>
          <w:color w:val="auto"/>
          <w:lang w:val="zh-CN" w:eastAsia="zh-CN" w:bidi="zh-CN"/>
        </w:rPr>
        <w:t>“学生</w:t>
      </w:r>
      <w:r>
        <w:rPr>
          <w:color w:val="auto"/>
        </w:rPr>
        <w:t>为本、服务育人”为指导思想，围绕学生的学业发展、帮困助学、学生事务办理等实际需要，为学生提供信息发布、事务服务等工作的新的学生工作平台。</w:t>
      </w:r>
    </w:p>
    <w:p>
      <w:pPr>
        <w:pStyle w:val="14"/>
        <w:spacing w:line="302" w:lineRule="exact"/>
        <w:ind w:firstLine="420"/>
        <w:jc w:val="both"/>
        <w:rPr>
          <w:color w:val="auto"/>
        </w:rPr>
      </w:pPr>
      <w:r>
        <w:rPr>
          <w:color w:val="auto"/>
        </w:rPr>
        <w:t>南航金城学院学生事务服务中心学生团队于</w:t>
      </w:r>
      <w:r>
        <w:rPr>
          <w:rFonts w:ascii="Times New Roman" w:hAnsi="Times New Roman" w:eastAsia="Times New Roman" w:cs="Times New Roman"/>
          <w:color w:val="auto"/>
          <w:sz w:val="20"/>
          <w:szCs w:val="20"/>
        </w:rPr>
        <w:t>2014</w:t>
      </w:r>
      <w:r>
        <w:rPr>
          <w:color w:val="auto"/>
        </w:rPr>
        <w:t>年</w:t>
      </w:r>
      <w:r>
        <w:rPr>
          <w:rFonts w:ascii="Times New Roman" w:hAnsi="Times New Roman" w:eastAsia="Times New Roman" w:cs="Times New Roman"/>
          <w:color w:val="auto"/>
          <w:sz w:val="20"/>
          <w:szCs w:val="20"/>
        </w:rPr>
        <w:t>4</w:t>
      </w:r>
      <w:r>
        <w:rPr>
          <w:color w:val="auto"/>
        </w:rPr>
        <w:t>月成立，隶属于学生处的志愿服务型的校级学生组织，学生事务服务中心学生团队尝试企业员工管理模式，与其他各校级学生组织差异化发展</w:t>
      </w:r>
      <w:r>
        <w:rPr>
          <w:rFonts w:hint="eastAsia"/>
          <w:color w:val="auto"/>
          <w:lang w:eastAsia="zh-CN"/>
        </w:rPr>
        <w:t>，</w:t>
      </w:r>
      <w:r>
        <w:rPr>
          <w:color w:val="auto"/>
        </w:rPr>
        <w:t>逐步在事务服务大厅开展失物招领、各类证件办理、综合资讯等各类服务。下设六个部门，分别是人力资源部、业务服务部、宣传企划部、权益服务部、公共关系部和微信团队（云哥）。</w:t>
      </w:r>
    </w:p>
    <w:p>
      <w:pPr>
        <w:pStyle w:val="14"/>
        <w:spacing w:line="302" w:lineRule="exact"/>
        <w:ind w:firstLine="500"/>
        <w:jc w:val="both"/>
        <w:rPr>
          <w:color w:val="auto"/>
        </w:rPr>
      </w:pPr>
      <w:r>
        <w:rPr>
          <w:color w:val="auto"/>
          <w:lang w:val="en-US" w:eastAsia="zh-CN" w:bidi="en-US"/>
        </w:rPr>
        <w:t>•</w:t>
      </w:r>
      <w:r>
        <w:rPr>
          <w:b/>
          <w:bCs/>
          <w:color w:val="auto"/>
        </w:rPr>
        <w:t>特色服务功能区介绍</w:t>
      </w:r>
    </w:p>
    <w:p>
      <w:pPr>
        <w:pStyle w:val="14"/>
        <w:spacing w:line="302" w:lineRule="exact"/>
        <w:ind w:firstLine="420"/>
        <w:jc w:val="both"/>
        <w:rPr>
          <w:color w:val="auto"/>
        </w:rPr>
      </w:pPr>
      <w:r>
        <w:rPr>
          <w:color w:val="auto"/>
        </w:rPr>
        <w:t>南航金城学生事务服务中心微信平台</w:t>
      </w:r>
    </w:p>
    <w:p>
      <w:pPr>
        <w:pStyle w:val="14"/>
        <w:spacing w:line="302" w:lineRule="exact"/>
        <w:ind w:firstLine="420"/>
        <w:jc w:val="both"/>
        <w:rPr>
          <w:color w:val="auto"/>
        </w:rPr>
      </w:pPr>
      <w:r>
        <w:rPr>
          <w:color w:val="auto"/>
        </w:rPr>
        <w:t>微信关注</w:t>
      </w:r>
      <w:r>
        <w:rPr>
          <w:color w:val="auto"/>
          <w:lang w:val="zh-CN" w:eastAsia="zh-CN" w:bidi="zh-CN"/>
        </w:rPr>
        <w:t>“金</w:t>
      </w:r>
      <w:r>
        <w:rPr>
          <w:color w:val="auto"/>
        </w:rPr>
        <w:t>城学院学生事务服务中心（微信号：</w:t>
      </w:r>
      <w:r>
        <w:rPr>
          <w:rFonts w:ascii="Times New Roman" w:hAnsi="Times New Roman" w:eastAsia="Times New Roman" w:cs="Times New Roman"/>
          <w:color w:val="auto"/>
          <w:sz w:val="20"/>
          <w:szCs w:val="20"/>
          <w:lang w:val="en-US" w:eastAsia="zh-CN" w:bidi="en-US"/>
        </w:rPr>
        <w:t>nhjcxsc</w:t>
      </w:r>
      <w:r>
        <w:rPr>
          <w:rFonts w:hint="eastAsia"/>
          <w:color w:val="auto"/>
          <w:szCs w:val="20"/>
          <w:lang w:val="en-US" w:eastAsia="zh-CN" w:bidi="en-US"/>
        </w:rPr>
        <w:t>）</w:t>
      </w:r>
      <w:r>
        <w:rPr>
          <w:rFonts w:ascii="Times New Roman" w:hAnsi="Times New Roman" w:eastAsia="Times New Roman" w:cs="Times New Roman"/>
          <w:color w:val="auto"/>
          <w:sz w:val="20"/>
          <w:szCs w:val="20"/>
          <w:lang w:val="en-US" w:eastAsia="zh-CN" w:bidi="en-US"/>
        </w:rPr>
        <w:t>”</w:t>
      </w:r>
      <w:r>
        <w:rPr>
          <w:color w:val="auto"/>
        </w:rPr>
        <w:t>微信公众平台，有以下三大板块：</w:t>
      </w:r>
    </w:p>
    <w:p>
      <w:pPr>
        <w:pStyle w:val="14"/>
        <w:spacing w:line="302" w:lineRule="exact"/>
        <w:ind w:firstLine="420"/>
        <w:jc w:val="both"/>
        <w:rPr>
          <w:color w:val="auto"/>
        </w:rPr>
      </w:pPr>
      <w:r>
        <w:rPr>
          <w:color w:val="auto"/>
        </w:rPr>
        <w:t>云服务：事务办理，失物招领，全心权益，预约办理，交通时刻表</w:t>
      </w:r>
    </w:p>
    <w:p>
      <w:pPr>
        <w:pStyle w:val="14"/>
        <w:spacing w:line="302" w:lineRule="exact"/>
        <w:ind w:firstLine="420"/>
        <w:jc w:val="both"/>
        <w:rPr>
          <w:color w:val="auto"/>
        </w:rPr>
      </w:pPr>
      <w:r>
        <w:rPr>
          <w:color w:val="auto"/>
        </w:rPr>
        <w:t>云查询：最新资讯，查成绩，查</w:t>
      </w:r>
      <w:r>
        <w:rPr>
          <w:rFonts w:ascii="Times New Roman" w:hAnsi="Times New Roman" w:eastAsia="Times New Roman" w:cs="Times New Roman"/>
          <w:color w:val="auto"/>
          <w:sz w:val="20"/>
          <w:szCs w:val="20"/>
          <w:lang w:val="en-US" w:eastAsia="zh-CN" w:bidi="en-US"/>
        </w:rPr>
        <w:t>CET</w:t>
      </w:r>
      <w:r>
        <w:rPr>
          <w:rFonts w:hint="eastAsia"/>
          <w:color w:val="auto"/>
          <w:sz w:val="20"/>
          <w:szCs w:val="20"/>
          <w:lang w:val="en-US" w:eastAsia="zh-CN" w:bidi="en-US"/>
        </w:rPr>
        <w:t>，</w:t>
      </w:r>
      <w:r>
        <w:rPr>
          <w:color w:val="auto"/>
        </w:rPr>
        <w:t>帮助手册，校园通讯录</w:t>
      </w:r>
    </w:p>
    <w:p>
      <w:pPr>
        <w:pStyle w:val="14"/>
        <w:spacing w:line="302" w:lineRule="exact"/>
        <w:ind w:firstLine="420"/>
        <w:jc w:val="both"/>
        <w:rPr>
          <w:color w:val="auto"/>
        </w:rPr>
      </w:pPr>
      <w:r>
        <w:rPr>
          <w:color w:val="auto"/>
        </w:rPr>
        <w:t>云交互：云哥陪你聊，留言墙，表白墙，精彩回顾，青年之声</w:t>
      </w:r>
    </w:p>
    <w:p>
      <w:pPr>
        <w:pStyle w:val="14"/>
        <w:spacing w:after="60" w:line="302" w:lineRule="exact"/>
        <w:ind w:firstLine="500"/>
        <w:jc w:val="both"/>
        <w:rPr>
          <w:b/>
          <w:bCs/>
          <w:color w:val="auto"/>
        </w:rPr>
      </w:pPr>
      <w:r>
        <w:rPr>
          <w:color w:val="auto"/>
          <w:lang w:val="en-US" w:eastAsia="zh-CN" w:bidi="en-US"/>
        </w:rPr>
        <w:t>•</w:t>
      </w:r>
      <w:r>
        <w:rPr>
          <w:b/>
          <w:bCs/>
          <w:color w:val="auto"/>
        </w:rPr>
        <w:t>回复黑括号内的关键字进入对应的栏目：</w:t>
      </w:r>
    </w:p>
    <w:p>
      <w:pPr>
        <w:pStyle w:val="14"/>
        <w:spacing w:line="314" w:lineRule="auto"/>
        <w:ind w:firstLine="420"/>
        <w:jc w:val="both"/>
        <w:rPr>
          <w:color w:val="auto"/>
        </w:rPr>
      </w:pPr>
      <w:r>
        <w:rPr>
          <w:rFonts w:hint="eastAsia"/>
          <w:color w:val="auto"/>
          <w:sz w:val="20"/>
          <w:szCs w:val="20"/>
          <w:lang w:val="en-US" w:eastAsia="zh-CN" w:bidi="en-US"/>
        </w:rPr>
        <w:t>【</w:t>
      </w:r>
      <w:r>
        <w:rPr>
          <w:color w:val="auto"/>
        </w:rPr>
        <w:t>聚焦金城</w:t>
      </w:r>
      <w:r>
        <w:rPr>
          <w:rFonts w:hint="eastAsia"/>
          <w:color w:val="auto"/>
          <w:sz w:val="20"/>
          <w:szCs w:val="20"/>
        </w:rPr>
        <w:t>】</w:t>
      </w:r>
      <w:r>
        <w:rPr>
          <w:color w:val="auto"/>
        </w:rPr>
        <w:t>推送学校的权威校内资讯</w:t>
      </w:r>
    </w:p>
    <w:p>
      <w:pPr>
        <w:pStyle w:val="14"/>
        <w:spacing w:line="302" w:lineRule="exact"/>
        <w:ind w:firstLine="420"/>
        <w:jc w:val="both"/>
        <w:rPr>
          <w:color w:val="auto"/>
        </w:rPr>
      </w:pPr>
      <w:r>
        <w:rPr>
          <w:color w:val="auto"/>
        </w:rPr>
        <w:t>【事务办理</w:t>
      </w:r>
      <w:r>
        <w:rPr>
          <w:rFonts w:hint="eastAsia"/>
          <w:color w:val="auto"/>
        </w:rPr>
        <w:t>】</w:t>
      </w:r>
      <w:r>
        <w:rPr>
          <w:color w:val="auto"/>
        </w:rPr>
        <w:t>查看各项学生事务办理流程</w:t>
      </w:r>
    </w:p>
    <w:p>
      <w:pPr>
        <w:pStyle w:val="14"/>
        <w:spacing w:line="302" w:lineRule="exact"/>
        <w:ind w:firstLine="420"/>
        <w:jc w:val="both"/>
        <w:rPr>
          <w:color w:val="auto"/>
        </w:rPr>
      </w:pPr>
      <w:r>
        <w:rPr>
          <w:color w:val="auto"/>
        </w:rPr>
        <w:t>【最新资讯】即时发布学校各类最新通知和咨讯</w:t>
      </w:r>
    </w:p>
    <w:p>
      <w:pPr>
        <w:pStyle w:val="14"/>
        <w:spacing w:after="60" w:line="302" w:lineRule="exact"/>
        <w:ind w:firstLine="420"/>
        <w:jc w:val="both"/>
        <w:rPr>
          <w:color w:val="auto"/>
        </w:rPr>
      </w:pPr>
      <w:r>
        <w:rPr>
          <w:color w:val="auto"/>
        </w:rPr>
        <w:t>【账号绑定】账号绑定，身份验证，专属你的个性化服务</w:t>
      </w:r>
    </w:p>
    <w:p>
      <w:pPr>
        <w:pStyle w:val="14"/>
        <w:spacing w:line="240" w:lineRule="auto"/>
        <w:ind w:firstLine="420"/>
        <w:jc w:val="both"/>
        <w:rPr>
          <w:color w:val="auto"/>
        </w:rPr>
      </w:pPr>
      <w:r>
        <w:rPr>
          <w:color w:val="auto"/>
        </w:rPr>
        <w:t>【实用工具】查成绩、查</w:t>
      </w:r>
      <w:r>
        <w:rPr>
          <w:rFonts w:ascii="Times New Roman" w:hAnsi="Times New Roman" w:eastAsia="Times New Roman" w:cs="Times New Roman"/>
          <w:color w:val="auto"/>
          <w:sz w:val="20"/>
          <w:szCs w:val="20"/>
          <w:lang w:val="en-US" w:eastAsia="zh-CN" w:bidi="en-US"/>
        </w:rPr>
        <w:t>CET</w:t>
      </w:r>
      <w:r>
        <w:rPr>
          <w:color w:val="auto"/>
          <w:lang w:val="en-US" w:eastAsia="zh-CN" w:bidi="en-US"/>
        </w:rPr>
        <w:t>、</w:t>
      </w:r>
      <w:r>
        <w:rPr>
          <w:color w:val="auto"/>
        </w:rPr>
        <w:t>黄历、查快递、黄历等</w:t>
      </w:r>
    </w:p>
    <w:p>
      <w:pPr>
        <w:pStyle w:val="14"/>
        <w:spacing w:line="302" w:lineRule="exact"/>
        <w:ind w:firstLine="420"/>
        <w:jc w:val="both"/>
        <w:rPr>
          <w:color w:val="auto"/>
        </w:rPr>
      </w:pPr>
      <w:r>
        <w:rPr>
          <w:rFonts w:hint="eastAsia"/>
          <w:color w:val="auto"/>
          <w:lang w:val="en-US" w:eastAsia="zh-CN" w:bidi="en-US"/>
        </w:rPr>
        <w:t>【</w:t>
      </w:r>
      <w:r>
        <w:rPr>
          <w:color w:val="auto"/>
        </w:rPr>
        <w:t>失物招领</w:t>
      </w:r>
      <w:r>
        <w:rPr>
          <w:rFonts w:hint="eastAsia"/>
          <w:color w:val="auto"/>
          <w:lang w:val="en-US" w:eastAsia="zh-CN" w:bidi="en-US"/>
        </w:rPr>
        <w:t>】</w:t>
      </w:r>
      <w:r>
        <w:rPr>
          <w:color w:val="auto"/>
        </w:rPr>
        <w:t>失物招领&amp;寻物启事发布平台</w:t>
      </w:r>
    </w:p>
    <w:p>
      <w:pPr>
        <w:pStyle w:val="14"/>
        <w:spacing w:line="302" w:lineRule="exact"/>
        <w:ind w:firstLine="420"/>
        <w:jc w:val="both"/>
        <w:rPr>
          <w:color w:val="auto"/>
          <w:sz w:val="20"/>
          <w:szCs w:val="20"/>
        </w:rPr>
      </w:pPr>
      <w:r>
        <w:rPr>
          <w:color w:val="auto"/>
        </w:rPr>
        <w:t>【交通时刻表】校车时刻表、</w:t>
      </w:r>
      <w:r>
        <w:rPr>
          <w:rFonts w:ascii="Times New Roman" w:hAnsi="Times New Roman" w:eastAsia="Times New Roman" w:cs="Times New Roman"/>
          <w:color w:val="auto"/>
          <w:sz w:val="20"/>
          <w:szCs w:val="20"/>
          <w:lang w:val="en-US" w:eastAsia="zh-CN" w:bidi="en-US"/>
        </w:rPr>
        <w:t>S9</w:t>
      </w:r>
      <w:r>
        <w:rPr>
          <w:color w:val="auto"/>
        </w:rPr>
        <w:t>宁高线、石湫线、</w:t>
      </w:r>
      <w:r>
        <w:rPr>
          <w:rFonts w:ascii="Times New Roman" w:hAnsi="Times New Roman" w:eastAsia="Times New Roman" w:cs="Times New Roman"/>
          <w:color w:val="auto"/>
          <w:sz w:val="20"/>
          <w:szCs w:val="20"/>
        </w:rPr>
        <w:t>862</w:t>
      </w:r>
      <w:r>
        <w:rPr>
          <w:color w:val="auto"/>
        </w:rPr>
        <w:t>、</w:t>
      </w:r>
      <w:r>
        <w:rPr>
          <w:rFonts w:ascii="Times New Roman" w:hAnsi="Times New Roman" w:eastAsia="Times New Roman" w:cs="Times New Roman"/>
          <w:color w:val="auto"/>
          <w:sz w:val="20"/>
          <w:szCs w:val="20"/>
        </w:rPr>
        <w:t>939</w:t>
      </w:r>
      <w:r>
        <w:rPr>
          <w:color w:val="auto"/>
        </w:rPr>
        <w:t>、</w:t>
      </w:r>
      <w:r>
        <w:rPr>
          <w:rFonts w:ascii="Times New Roman" w:hAnsi="Times New Roman" w:eastAsia="Times New Roman" w:cs="Times New Roman"/>
          <w:color w:val="auto"/>
          <w:sz w:val="20"/>
          <w:szCs w:val="20"/>
        </w:rPr>
        <w:t>851</w:t>
      </w:r>
    </w:p>
    <w:p>
      <w:pPr>
        <w:pStyle w:val="14"/>
        <w:spacing w:line="302" w:lineRule="exact"/>
        <w:ind w:firstLine="420"/>
        <w:jc w:val="both"/>
        <w:rPr>
          <w:color w:val="auto"/>
        </w:rPr>
      </w:pPr>
      <w:r>
        <w:rPr>
          <w:color w:val="auto"/>
        </w:rPr>
        <w:t>【娱乐互动】智能聊天互动、看笑话等</w:t>
      </w:r>
    </w:p>
    <w:p>
      <w:pPr>
        <w:pStyle w:val="14"/>
        <w:spacing w:after="60" w:line="302" w:lineRule="exact"/>
        <w:ind w:firstLine="420"/>
        <w:jc w:val="both"/>
        <w:rPr>
          <w:color w:val="auto"/>
        </w:rPr>
      </w:pPr>
      <w:r>
        <w:rPr>
          <w:rFonts w:hint="eastAsia"/>
          <w:color w:val="auto"/>
          <w:lang w:val="en-US" w:eastAsia="zh-CN" w:bidi="en-US"/>
        </w:rPr>
        <w:t>【</w:t>
      </w:r>
      <w:r>
        <w:rPr>
          <w:color w:val="auto"/>
        </w:rPr>
        <w:t>安全常识</w:t>
      </w:r>
      <w:r>
        <w:rPr>
          <w:rFonts w:hint="eastAsia"/>
          <w:color w:val="auto"/>
          <w:lang w:val="en-US" w:eastAsia="zh-CN" w:bidi="en-US"/>
        </w:rPr>
        <w:t>】</w:t>
      </w:r>
      <w:r>
        <w:rPr>
          <w:color w:val="auto"/>
        </w:rPr>
        <w:t>大学生必备的安全常识</w:t>
      </w:r>
    </w:p>
    <w:p>
      <w:pPr>
        <w:pStyle w:val="14"/>
        <w:spacing w:line="314" w:lineRule="auto"/>
        <w:ind w:firstLine="420"/>
        <w:jc w:val="both"/>
        <w:rPr>
          <w:color w:val="auto"/>
        </w:rPr>
      </w:pPr>
      <w:r>
        <w:rPr>
          <w:rFonts w:hint="eastAsia"/>
          <w:color w:val="auto"/>
          <w:sz w:val="20"/>
          <w:szCs w:val="20"/>
          <w:lang w:val="en-US" w:eastAsia="zh-CN" w:bidi="en-US"/>
        </w:rPr>
        <w:t>【</w:t>
      </w:r>
      <w:r>
        <w:rPr>
          <w:color w:val="auto"/>
        </w:rPr>
        <w:t>南京旅游</w:t>
      </w:r>
      <w:r>
        <w:rPr>
          <w:rFonts w:hint="eastAsia"/>
          <w:color w:val="auto"/>
          <w:sz w:val="20"/>
          <w:szCs w:val="20"/>
        </w:rPr>
        <w:t>】</w:t>
      </w:r>
      <w:r>
        <w:rPr>
          <w:color w:val="auto"/>
        </w:rPr>
        <w:t>每周末推送南京旅游景点</w:t>
      </w:r>
    </w:p>
    <w:p>
      <w:pPr>
        <w:pStyle w:val="14"/>
        <w:spacing w:line="302" w:lineRule="exact"/>
        <w:ind w:firstLine="420"/>
        <w:jc w:val="both"/>
        <w:rPr>
          <w:color w:val="auto"/>
        </w:rPr>
      </w:pPr>
      <w:r>
        <w:rPr>
          <w:rFonts w:hint="eastAsia"/>
          <w:color w:val="auto"/>
          <w:lang w:val="en-US" w:eastAsia="zh-CN" w:bidi="en-US"/>
        </w:rPr>
        <w:t>【</w:t>
      </w:r>
      <w:r>
        <w:rPr>
          <w:color w:val="auto"/>
        </w:rPr>
        <w:t>好书推荐</w:t>
      </w:r>
      <w:r>
        <w:rPr>
          <w:rFonts w:hint="eastAsia"/>
          <w:color w:val="auto"/>
          <w:lang w:val="en-US" w:eastAsia="zh-CN" w:bidi="en-US"/>
        </w:rPr>
        <w:t>】</w:t>
      </w:r>
      <w:r>
        <w:rPr>
          <w:color w:val="auto"/>
        </w:rPr>
        <w:t>每周末为你推荐一本好书</w:t>
      </w:r>
    </w:p>
    <w:p>
      <w:pPr>
        <w:pStyle w:val="14"/>
        <w:spacing w:line="302" w:lineRule="exact"/>
        <w:ind w:firstLine="420"/>
        <w:jc w:val="both"/>
        <w:rPr>
          <w:color w:val="auto"/>
        </w:rPr>
      </w:pPr>
      <w:r>
        <w:rPr>
          <w:rFonts w:hint="eastAsia"/>
          <w:color w:val="auto"/>
          <w:lang w:val="en-US" w:eastAsia="zh-CN" w:bidi="en-US"/>
        </w:rPr>
        <w:t>【</w:t>
      </w:r>
      <w:r>
        <w:rPr>
          <w:color w:val="auto"/>
        </w:rPr>
        <w:t>留言墙&amp;表白墙】给云哥留言，表白你的最爱，云哥倾听每一个声音</w:t>
      </w:r>
    </w:p>
    <w:p>
      <w:pPr>
        <w:pStyle w:val="14"/>
        <w:spacing w:after="280" w:line="302" w:lineRule="exact"/>
        <w:ind w:firstLine="420"/>
        <w:jc w:val="both"/>
        <w:rPr>
          <w:color w:val="auto"/>
        </w:rPr>
      </w:pPr>
      <w:r>
        <w:rPr>
          <w:rFonts w:hint="eastAsia"/>
          <w:color w:val="auto"/>
          <w:lang w:val="en-US" w:eastAsia="zh-CN" w:bidi="en-US"/>
        </w:rPr>
        <w:t>【</w:t>
      </w:r>
      <w:r>
        <w:rPr>
          <w:color w:val="auto"/>
        </w:rPr>
        <w:t>帮助</w:t>
      </w:r>
      <w:r>
        <w:rPr>
          <w:rFonts w:hint="eastAsia"/>
          <w:color w:val="auto"/>
          <w:lang w:val="en-US" w:eastAsia="zh-CN" w:bidi="en-US"/>
        </w:rPr>
        <w:t>】</w:t>
      </w:r>
      <w:r>
        <w:rPr>
          <w:color w:val="auto"/>
        </w:rPr>
        <w:t>查看所有栏目，帮你解决问题</w:t>
      </w:r>
    </w:p>
    <w:p>
      <w:pPr>
        <w:pStyle w:val="14"/>
        <w:spacing w:after="60" w:line="302" w:lineRule="exact"/>
        <w:ind w:firstLine="420"/>
        <w:jc w:val="both"/>
        <w:rPr>
          <w:color w:val="auto"/>
        </w:rPr>
      </w:pPr>
      <w:r>
        <w:rPr>
          <w:b/>
          <w:bCs/>
          <w:color w:val="auto"/>
        </w:rPr>
        <w:t>联系方式</w:t>
      </w:r>
      <w:r>
        <w:rPr>
          <w:color w:val="auto"/>
        </w:rPr>
        <w:t>：</w:t>
      </w:r>
    </w:p>
    <w:p>
      <w:pPr>
        <w:pStyle w:val="14"/>
        <w:tabs>
          <w:tab w:val="left" w:pos="745"/>
        </w:tabs>
        <w:spacing w:line="314" w:lineRule="auto"/>
        <w:ind w:left="420" w:firstLine="0"/>
        <w:jc w:val="both"/>
        <w:rPr>
          <w:color w:val="auto"/>
        </w:rPr>
      </w:pPr>
      <w:bookmarkStart w:id="652" w:name="bookmark1058"/>
      <w:bookmarkEnd w:id="652"/>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线下接待地点:</w:t>
      </w:r>
      <w:r>
        <w:rPr>
          <w:rFonts w:hint="eastAsia"/>
          <w:color w:val="auto"/>
        </w:rPr>
        <w:t>德馨</w:t>
      </w:r>
      <w:r>
        <w:rPr>
          <w:color w:val="auto"/>
        </w:rPr>
        <w:t>楼</w:t>
      </w:r>
      <w:r>
        <w:rPr>
          <w:rFonts w:ascii="Times New Roman" w:hAnsi="Times New Roman" w:eastAsia="Times New Roman" w:cs="Times New Roman"/>
          <w:color w:val="auto"/>
          <w:sz w:val="20"/>
          <w:szCs w:val="20"/>
        </w:rPr>
        <w:t>21</w:t>
      </w:r>
      <w:r>
        <w:rPr>
          <w:rFonts w:hint="eastAsia" w:ascii="Times New Roman" w:hAnsi="Times New Roman" w:cs="Times New Roman"/>
          <w:color w:val="auto"/>
          <w:sz w:val="20"/>
          <w:szCs w:val="20"/>
          <w:lang w:val="en-US" w:eastAsia="zh-CN"/>
        </w:rPr>
        <w:t>5</w:t>
      </w:r>
      <w:r>
        <w:rPr>
          <w:color w:val="auto"/>
        </w:rPr>
        <w:t>办公室、学生事务服务大厅</w:t>
      </w:r>
      <w:r>
        <w:rPr>
          <w:rFonts w:ascii="Times New Roman" w:hAnsi="Times New Roman" w:eastAsia="Times New Roman" w:cs="Times New Roman"/>
          <w:color w:val="auto"/>
          <w:sz w:val="20"/>
          <w:szCs w:val="20"/>
        </w:rPr>
        <w:t>1</w:t>
      </w:r>
      <w:r>
        <w:rPr>
          <w:color w:val="auto"/>
        </w:rPr>
        <w:t>号窗口、全心权益</w:t>
      </w:r>
      <w:r>
        <w:rPr>
          <w:rFonts w:hint="eastAsia"/>
          <w:color w:val="auto"/>
        </w:rPr>
        <w:t>办公室（</w:t>
      </w:r>
      <w:r>
        <w:rPr>
          <w:color w:val="auto"/>
        </w:rPr>
        <w:t>大活三楼）</w:t>
      </w:r>
    </w:p>
    <w:p>
      <w:pPr>
        <w:pStyle w:val="28"/>
        <w:tabs>
          <w:tab w:val="left" w:pos="764"/>
        </w:tabs>
        <w:spacing w:after="0" w:line="314" w:lineRule="auto"/>
        <w:ind w:left="420"/>
        <w:jc w:val="left"/>
        <w:rPr>
          <w:color w:val="auto"/>
          <w:sz w:val="18"/>
          <w:szCs w:val="18"/>
        </w:rPr>
      </w:pPr>
      <w:bookmarkStart w:id="653" w:name="bookmark1059"/>
      <w:bookmarkEnd w:id="653"/>
      <w:r>
        <w:rPr>
          <w:rFonts w:hint="eastAsia" w:eastAsiaTheme="minorEastAsia"/>
          <w:color w:val="auto"/>
          <w:szCs w:val="18"/>
          <w:lang w:eastAsia="zh-CN"/>
        </w:rPr>
        <w:t>2</w:t>
      </w:r>
      <w:r>
        <w:rPr>
          <w:rFonts w:eastAsia="PMingLiU"/>
          <w:color w:val="auto"/>
          <w:szCs w:val="18"/>
        </w:rPr>
        <w:t>.</w:t>
      </w:r>
      <w:r>
        <w:rPr>
          <w:rFonts w:ascii="宋体" w:hAnsi="宋体"/>
          <w:color w:val="auto"/>
          <w:sz w:val="18"/>
          <w:szCs w:val="18"/>
        </w:rPr>
        <w:t>电话：</w:t>
      </w:r>
      <w:r>
        <w:rPr>
          <w:color w:val="auto"/>
        </w:rPr>
        <w:t>87190033</w:t>
      </w:r>
      <w:r>
        <w:rPr>
          <w:rFonts w:ascii="宋体" w:hAnsi="宋体"/>
          <w:color w:val="auto"/>
          <w:sz w:val="18"/>
          <w:szCs w:val="18"/>
        </w:rPr>
        <w:t>（德馨楼</w:t>
      </w:r>
      <w:r>
        <w:rPr>
          <w:color w:val="auto"/>
        </w:rPr>
        <w:t>21</w:t>
      </w:r>
      <w:r>
        <w:rPr>
          <w:rFonts w:hint="eastAsia"/>
          <w:color w:val="auto"/>
          <w:lang w:val="en-US" w:eastAsia="zh-CN"/>
        </w:rPr>
        <w:t>5</w:t>
      </w:r>
      <w:r>
        <w:rPr>
          <w:rFonts w:ascii="宋体" w:hAnsi="宋体"/>
          <w:color w:val="auto"/>
          <w:sz w:val="18"/>
          <w:szCs w:val="18"/>
        </w:rPr>
        <w:t>办公室）、</w:t>
      </w:r>
      <w:r>
        <w:rPr>
          <w:color w:val="auto"/>
        </w:rPr>
        <w:t>87190877</w:t>
      </w:r>
      <w:r>
        <w:rPr>
          <w:rFonts w:ascii="宋体" w:hAnsi="宋体"/>
          <w:color w:val="auto"/>
          <w:sz w:val="18"/>
          <w:szCs w:val="18"/>
        </w:rPr>
        <w:t>（学生事务服务大厅）</w:t>
      </w:r>
    </w:p>
    <w:p>
      <w:pPr>
        <w:pStyle w:val="14"/>
        <w:tabs>
          <w:tab w:val="left" w:pos="764"/>
        </w:tabs>
        <w:spacing w:line="314" w:lineRule="auto"/>
        <w:ind w:left="420" w:firstLine="0"/>
        <w:rPr>
          <w:color w:val="auto"/>
        </w:rPr>
      </w:pPr>
      <w:bookmarkStart w:id="654" w:name="bookmark1060"/>
      <w:bookmarkEnd w:id="654"/>
      <w:r>
        <w:rPr>
          <w:rFonts w:hint="eastAsia" w:ascii="Times New Roman" w:hAnsi="Times New Roman" w:eastAsiaTheme="minorEastAsia"/>
          <w:color w:val="auto"/>
          <w:sz w:val="20"/>
          <w:lang w:eastAsia="zh-CN"/>
        </w:rPr>
        <w:t>3</w:t>
      </w:r>
      <w:r>
        <w:rPr>
          <w:rFonts w:ascii="Times New Roman" w:hAnsi="Times New Roman" w:eastAsia="PMingLiU"/>
          <w:color w:val="auto"/>
          <w:sz w:val="20"/>
        </w:rPr>
        <w:t>.</w:t>
      </w:r>
      <w:r>
        <w:rPr>
          <w:color w:val="auto"/>
        </w:rPr>
        <w:t>线上联系方式：</w:t>
      </w:r>
    </w:p>
    <w:p>
      <w:pPr>
        <w:pStyle w:val="14"/>
        <w:spacing w:line="302" w:lineRule="exact"/>
        <w:ind w:firstLine="420"/>
        <w:rPr>
          <w:color w:val="auto"/>
        </w:rPr>
      </w:pPr>
      <w:r>
        <w:rPr>
          <w:color w:val="auto"/>
        </w:rPr>
        <w:t>官方微信：金城学院学生事务服务中心（公众号：</w:t>
      </w:r>
      <w:r>
        <w:rPr>
          <w:rFonts w:ascii="Times New Roman" w:hAnsi="Times New Roman" w:eastAsia="Times New Roman" w:cs="Times New Roman"/>
          <w:color w:val="auto"/>
          <w:sz w:val="20"/>
          <w:szCs w:val="20"/>
          <w:lang w:val="en-US" w:eastAsia="zh-CN" w:bidi="en-US"/>
        </w:rPr>
        <w:t>nhjcxsc</w:t>
      </w:r>
      <w:r>
        <w:rPr>
          <w:color w:val="auto"/>
        </w:rPr>
        <w:t>）</w:t>
      </w:r>
    </w:p>
    <w:p>
      <w:pPr>
        <w:pStyle w:val="28"/>
        <w:spacing w:after="0" w:line="302" w:lineRule="exact"/>
        <w:ind w:firstLine="420"/>
        <w:jc w:val="left"/>
        <w:rPr>
          <w:color w:val="auto"/>
          <w:sz w:val="18"/>
          <w:szCs w:val="18"/>
        </w:rPr>
      </w:pPr>
      <w:r>
        <w:rPr>
          <w:rFonts w:ascii="宋体" w:hAnsi="宋体"/>
          <w:color w:val="auto"/>
          <w:sz w:val="18"/>
          <w:szCs w:val="18"/>
        </w:rPr>
        <w:t>官方</w:t>
      </w:r>
      <w:r>
        <w:rPr>
          <w:color w:val="auto"/>
          <w:lang w:val="en-US" w:bidi="en-US"/>
        </w:rPr>
        <w:t>QQ</w:t>
      </w:r>
      <w:r>
        <w:rPr>
          <w:rFonts w:hint="eastAsia" w:ascii="宋体" w:hAnsi="宋体"/>
          <w:color w:val="auto"/>
          <w:lang w:val="en-US" w:bidi="en-US"/>
        </w:rPr>
        <w:t>：</w:t>
      </w:r>
      <w:r>
        <w:rPr>
          <w:color w:val="auto"/>
        </w:rPr>
        <w:t>3169936191</w:t>
      </w:r>
      <w:r>
        <w:rPr>
          <w:rFonts w:ascii="宋体" w:hAnsi="宋体"/>
          <w:color w:val="auto"/>
          <w:sz w:val="18"/>
          <w:szCs w:val="18"/>
        </w:rPr>
        <w:t>（邮箱：</w:t>
      </w:r>
      <w:r>
        <w:rPr>
          <w:color w:val="auto"/>
          <w:lang w:val="en-US" w:bidi="en-US"/>
        </w:rPr>
        <w:t>nhjcsf@126.com</w:t>
      </w:r>
      <w:r>
        <w:rPr>
          <w:rFonts w:ascii="宋体" w:hAnsi="宋体"/>
          <w:color w:val="auto"/>
          <w:sz w:val="18"/>
          <w:szCs w:val="18"/>
        </w:rPr>
        <w:t>）</w:t>
      </w:r>
    </w:p>
    <w:p>
      <w:pPr>
        <w:pStyle w:val="14"/>
        <w:spacing w:line="302" w:lineRule="exact"/>
        <w:ind w:firstLine="420"/>
        <w:rPr>
          <w:color w:val="auto"/>
          <w:sz w:val="20"/>
          <w:szCs w:val="20"/>
        </w:rPr>
      </w:pPr>
      <w:r>
        <w:rPr>
          <w:color w:val="auto"/>
        </w:rPr>
        <w:t>线下服务时间：周一至周五</w:t>
      </w:r>
      <w:r>
        <w:rPr>
          <w:rFonts w:ascii="Times New Roman" w:hAnsi="Times New Roman" w:eastAsia="Times New Roman" w:cs="Times New Roman"/>
          <w:color w:val="auto"/>
          <w:sz w:val="20"/>
          <w:szCs w:val="20"/>
          <w:lang w:val="en-US" w:eastAsia="zh-CN" w:bidi="en-US"/>
        </w:rPr>
        <w:t>9</w:t>
      </w:r>
      <w:bookmarkStart w:id="655" w:name="_Hlk75511314"/>
      <w:r>
        <w:rPr>
          <w:rFonts w:ascii="Times New Roman" w:hAnsi="Times New Roman" w:eastAsia="Times New Roman" w:cs="Times New Roman"/>
          <w:color w:val="auto"/>
          <w:sz w:val="20"/>
          <w:szCs w:val="20"/>
          <w:lang w:val="en-US" w:eastAsia="zh-CN" w:bidi="en-US"/>
        </w:rPr>
        <w:t>:</w:t>
      </w:r>
      <w:bookmarkEnd w:id="655"/>
      <w:r>
        <w:rPr>
          <w:rFonts w:ascii="Times New Roman" w:hAnsi="Times New Roman" w:eastAsia="Times New Roman" w:cs="Times New Roman"/>
          <w:color w:val="auto"/>
          <w:sz w:val="20"/>
          <w:szCs w:val="20"/>
          <w:lang w:val="en-US" w:eastAsia="zh-CN" w:bidi="en-US"/>
        </w:rPr>
        <w:t>30-17:30</w:t>
      </w:r>
    </w:p>
    <w:p>
      <w:pPr>
        <w:pStyle w:val="28"/>
        <w:spacing w:after="60" w:line="302" w:lineRule="exact"/>
        <w:ind w:firstLine="420"/>
        <w:jc w:val="left"/>
        <w:rPr>
          <w:color w:val="auto"/>
          <w:lang w:val="en-US" w:eastAsia="zh-CN" w:bidi="en-US"/>
        </w:rPr>
      </w:pPr>
      <w:r>
        <w:rPr>
          <w:rFonts w:ascii="宋体" w:hAnsi="宋体"/>
          <w:color w:val="auto"/>
          <w:sz w:val="18"/>
          <w:szCs w:val="18"/>
        </w:rPr>
        <w:t>全心权益服务时间：周一</w:t>
      </w:r>
      <w:r>
        <w:rPr>
          <w:rFonts w:hint="eastAsia" w:ascii="宋体" w:hAnsi="宋体"/>
          <w:color w:val="auto"/>
          <w:sz w:val="18"/>
          <w:szCs w:val="18"/>
        </w:rPr>
        <w:t>至</w:t>
      </w:r>
      <w:r>
        <w:rPr>
          <w:rFonts w:ascii="宋体" w:hAnsi="宋体"/>
          <w:color w:val="auto"/>
          <w:sz w:val="18"/>
          <w:szCs w:val="18"/>
        </w:rPr>
        <w:t>周四</w:t>
      </w:r>
      <w:r>
        <w:rPr>
          <w:color w:val="auto"/>
          <w:lang w:val="en-US" w:eastAsia="zh-CN" w:bidi="en-US"/>
        </w:rPr>
        <w:t>8:40-17:30</w:t>
      </w:r>
      <w:r>
        <w:rPr>
          <w:rFonts w:ascii="宋体" w:hAnsi="宋体"/>
          <w:color w:val="auto"/>
          <w:lang w:val="en-US" w:eastAsia="zh-CN" w:bidi="en-US"/>
        </w:rPr>
        <w:t>；</w:t>
      </w:r>
      <w:r>
        <w:rPr>
          <w:rFonts w:ascii="宋体" w:hAnsi="宋体"/>
          <w:color w:val="auto"/>
          <w:sz w:val="18"/>
          <w:szCs w:val="18"/>
        </w:rPr>
        <w:t>周五上午</w:t>
      </w:r>
      <w:r>
        <w:rPr>
          <w:color w:val="auto"/>
          <w:lang w:val="en-US" w:eastAsia="zh-CN" w:bidi="en-US"/>
        </w:rPr>
        <w:t>8:40-12:20</w:t>
      </w:r>
    </w:p>
    <w:p>
      <w:pPr>
        <w:rPr>
          <w:color w:val="auto"/>
          <w:szCs w:val="20"/>
          <w:lang w:eastAsia="zh-CN"/>
        </w:rPr>
      </w:pPr>
      <w:r>
        <w:rPr>
          <w:color w:val="auto"/>
          <w:lang w:eastAsia="zh-CN"/>
        </w:rPr>
        <w:br w:type="page"/>
      </w:r>
    </w:p>
    <w:p>
      <w:pPr>
        <w:pStyle w:val="28"/>
        <w:spacing w:after="60" w:line="302" w:lineRule="exact"/>
        <w:ind w:firstLine="420"/>
        <w:jc w:val="left"/>
        <w:rPr>
          <w:color w:val="auto"/>
          <w:lang w:val="en-US" w:eastAsia="zh-CN" w:bidi="en-US"/>
        </w:rPr>
      </w:pPr>
    </w:p>
    <w:p>
      <w:pPr>
        <w:pStyle w:val="12"/>
        <w:keepNext/>
        <w:keepLines/>
        <w:spacing w:before="0" w:after="380" w:line="240" w:lineRule="auto"/>
        <w:rPr>
          <w:b/>
          <w:bCs/>
          <w:color w:val="auto"/>
        </w:rPr>
      </w:pPr>
      <w:bookmarkStart w:id="656" w:name="bookmark1062"/>
      <w:bookmarkStart w:id="657" w:name="bookmark1063"/>
      <w:bookmarkStart w:id="658" w:name="bookmark1061"/>
      <w:r>
        <w:rPr>
          <w:b/>
          <w:bCs/>
          <w:color w:val="auto"/>
        </w:rPr>
        <w:t>太阳花心理健康指导中心服务指南</w:t>
      </w:r>
      <w:bookmarkEnd w:id="656"/>
      <w:bookmarkEnd w:id="657"/>
      <w:bookmarkEnd w:id="658"/>
    </w:p>
    <w:p>
      <w:pPr>
        <w:pStyle w:val="14"/>
        <w:spacing w:line="304" w:lineRule="exact"/>
        <w:ind w:firstLine="420"/>
        <w:jc w:val="both"/>
        <w:rPr>
          <w:color w:val="auto"/>
        </w:rPr>
      </w:pPr>
      <w:r>
        <w:rPr>
          <w:color w:val="auto"/>
        </w:rPr>
        <w:t>太阳花心理健康指导中心成立于</w:t>
      </w:r>
      <w:r>
        <w:rPr>
          <w:rFonts w:ascii="Times New Roman" w:hAnsi="Times New Roman" w:eastAsia="Times New Roman" w:cs="Times New Roman"/>
          <w:color w:val="auto"/>
          <w:sz w:val="20"/>
          <w:szCs w:val="20"/>
        </w:rPr>
        <w:t>2007</w:t>
      </w:r>
      <w:r>
        <w:rPr>
          <w:color w:val="auto"/>
        </w:rPr>
        <w:t>年，隶属于学生工作处，是一个为我校师生提供心理咨询与指导的专业服务机构。指导中心集办公接待区、团体辅导室、沙盘游戏室、音乐放松室、情绪宣泄室和阅览测评室等功能区为一体，中心自成立以来，本着“贴近学生实际，关爱学生心灵，促进学生成长”的工作理念，以</w:t>
      </w:r>
      <w:r>
        <w:rPr>
          <w:color w:val="auto"/>
          <w:lang w:val="zh-CN" w:eastAsia="zh-CN" w:bidi="zh-CN"/>
        </w:rPr>
        <w:t>“尊</w:t>
      </w:r>
      <w:r>
        <w:rPr>
          <w:color w:val="auto"/>
        </w:rPr>
        <w:t>重、理解、真诚、保密”为服务宗旨，积极开展学生心理健康教育工作，了解学生心理健康状况，宣传心理健康知识，及时解决学生心理问题，优化学生心理素质，增强心理调适能力，促进学生身心健康发展。</w:t>
      </w:r>
    </w:p>
    <w:p>
      <w:pPr>
        <w:pStyle w:val="14"/>
        <w:spacing w:line="304" w:lineRule="exact"/>
        <w:ind w:firstLine="500"/>
        <w:jc w:val="both"/>
        <w:rPr>
          <w:b/>
          <w:bCs/>
          <w:color w:val="auto"/>
        </w:rPr>
      </w:pPr>
      <w:r>
        <w:rPr>
          <w:color w:val="auto"/>
          <w:lang w:val="en-US" w:eastAsia="zh-CN" w:bidi="en-US"/>
        </w:rPr>
        <w:t>•</w:t>
      </w:r>
      <w:r>
        <w:rPr>
          <w:b/>
          <w:bCs/>
          <w:color w:val="auto"/>
        </w:rPr>
        <w:t>特色服务功能区介绍</w:t>
      </w:r>
    </w:p>
    <w:p>
      <w:pPr>
        <w:pStyle w:val="14"/>
        <w:tabs>
          <w:tab w:val="left" w:pos="711"/>
        </w:tabs>
        <w:spacing w:line="304" w:lineRule="exact"/>
        <w:jc w:val="both"/>
        <w:rPr>
          <w:color w:val="auto"/>
        </w:rPr>
      </w:pPr>
      <w:bookmarkStart w:id="659" w:name="bookmark1064"/>
      <w:bookmarkEnd w:id="659"/>
      <w:r>
        <w:rPr>
          <w:rFonts w:hint="eastAsia" w:ascii="Times New Roman" w:hAnsi="Times New Roman" w:cs="Times New Roman"/>
          <w:color w:val="auto"/>
          <w:sz w:val="20"/>
          <w:szCs w:val="20"/>
          <w:lang w:eastAsia="zh-CN"/>
        </w:rPr>
        <w:t>1</w:t>
      </w:r>
      <w:r>
        <w:rPr>
          <w:rFonts w:ascii="Times New Roman" w:hAnsi="Times New Roman" w:eastAsia="PMingLiU" w:cs="Times New Roman"/>
          <w:color w:val="auto"/>
          <w:sz w:val="20"/>
          <w:szCs w:val="20"/>
        </w:rPr>
        <w:t>.</w:t>
      </w:r>
      <w:r>
        <w:rPr>
          <w:color w:val="auto"/>
        </w:rPr>
        <w:t>办公接待区：中心专兼职心理咨询师事务性办公场所，接待来访学生，进行咨询服务预约登记工作。</w:t>
      </w:r>
    </w:p>
    <w:p>
      <w:pPr>
        <w:pStyle w:val="14"/>
        <w:tabs>
          <w:tab w:val="left" w:pos="711"/>
        </w:tabs>
        <w:spacing w:line="304" w:lineRule="exact"/>
        <w:jc w:val="both"/>
        <w:rPr>
          <w:color w:val="auto"/>
        </w:rPr>
      </w:pPr>
      <w:bookmarkStart w:id="660" w:name="bookmark1065"/>
      <w:bookmarkEnd w:id="660"/>
      <w:r>
        <w:rPr>
          <w:rFonts w:hint="eastAsia" w:ascii="Times New Roman" w:hAnsi="Times New Roman" w:cs="Times New Roman"/>
          <w:color w:val="auto"/>
          <w:sz w:val="20"/>
          <w:szCs w:val="20"/>
        </w:rPr>
        <w:t>2</w:t>
      </w:r>
      <w:r>
        <w:rPr>
          <w:rFonts w:ascii="Times New Roman" w:hAnsi="Times New Roman" w:cs="Times New Roman"/>
          <w:color w:val="auto"/>
          <w:sz w:val="20"/>
          <w:szCs w:val="20"/>
        </w:rPr>
        <w:t>.</w:t>
      </w:r>
      <w:r>
        <w:rPr>
          <w:color w:val="auto"/>
        </w:rPr>
        <w:t>个体心理咨询室：在每个人的成长过程中，都会遇到挫折或疑惑，学业、感情、生活、人际、情绪、未来发展等很多复杂的问题……而我们需要一个清雅温馨的环境，在那里吐露心中的种种情绪，在那里，心理老师会用尊重、理解、真诚、保密的专业态度、专业心理咨询知识和技术解决我们生活中遇到的各种迷惑、帮助我们重新找到力量。</w:t>
      </w:r>
    </w:p>
    <w:p>
      <w:pPr>
        <w:pStyle w:val="14"/>
        <w:tabs>
          <w:tab w:val="left" w:pos="711"/>
        </w:tabs>
        <w:spacing w:line="304" w:lineRule="exact"/>
        <w:jc w:val="both"/>
        <w:rPr>
          <w:color w:val="auto"/>
        </w:rPr>
      </w:pPr>
      <w:bookmarkStart w:id="661" w:name="bookmark1066"/>
      <w:bookmarkEnd w:id="661"/>
      <w:r>
        <w:rPr>
          <w:rFonts w:hint="eastAsia" w:ascii="Times New Roman" w:hAnsi="Times New Roman" w:cs="Times New Roman"/>
          <w:color w:val="auto"/>
          <w:sz w:val="20"/>
          <w:szCs w:val="20"/>
        </w:rPr>
        <w:t>3</w:t>
      </w:r>
      <w:r>
        <w:rPr>
          <w:rFonts w:ascii="Times New Roman" w:hAnsi="Times New Roman" w:cs="Times New Roman"/>
          <w:color w:val="auto"/>
          <w:sz w:val="20"/>
          <w:szCs w:val="20"/>
        </w:rPr>
        <w:t>.</w:t>
      </w:r>
      <w:r>
        <w:rPr>
          <w:color w:val="auto"/>
        </w:rPr>
        <w:t>情绪宣泄训练功能室：心理中心提供宣泄人、智能呐喊宣泄仪，我们可以通过击打宣泄人、向智能呐喊宣泄仪呐喊的方式宣泄负面情绪，如焦虑、苦闷、愤怒、抑郁，也有不同的压力来源如考试、恋爱、人际交往、家庭生活和工作，在智能呐喊宣泄仪上我们可以选择自己喜欢的宣泄场景，寻求适合的</w:t>
      </w:r>
      <w:r>
        <w:rPr>
          <w:rFonts w:hint="eastAsia"/>
          <w:color w:val="auto"/>
        </w:rPr>
        <w:t>宣</w:t>
      </w:r>
      <w:r>
        <w:rPr>
          <w:color w:val="auto"/>
        </w:rPr>
        <w:t>泄方式。</w:t>
      </w:r>
    </w:p>
    <w:p>
      <w:pPr>
        <w:pStyle w:val="14"/>
        <w:tabs>
          <w:tab w:val="left" w:pos="711"/>
        </w:tabs>
        <w:spacing w:line="304" w:lineRule="exact"/>
        <w:jc w:val="both"/>
        <w:rPr>
          <w:color w:val="auto"/>
        </w:rPr>
      </w:pPr>
      <w:bookmarkStart w:id="662" w:name="bookmark1067"/>
      <w:bookmarkEnd w:id="662"/>
      <w:r>
        <w:rPr>
          <w:rFonts w:hint="eastAsia" w:ascii="Times New Roman" w:hAnsi="Times New Roman" w:cs="Times New Roman"/>
          <w:color w:val="auto"/>
          <w:sz w:val="20"/>
          <w:szCs w:val="20"/>
        </w:rPr>
        <w:t>4</w:t>
      </w:r>
      <w:r>
        <w:rPr>
          <w:rFonts w:ascii="Times New Roman" w:hAnsi="Times New Roman" w:cs="Times New Roman"/>
          <w:color w:val="auto"/>
          <w:sz w:val="20"/>
          <w:szCs w:val="20"/>
        </w:rPr>
        <w:t>.</w:t>
      </w:r>
      <w:r>
        <w:rPr>
          <w:color w:val="auto"/>
        </w:rPr>
        <w:t>沙盘游戏功能室：中心购置了近</w:t>
      </w:r>
      <w:r>
        <w:rPr>
          <w:rFonts w:ascii="Times New Roman" w:hAnsi="Times New Roman" w:eastAsia="Times New Roman" w:cs="Times New Roman"/>
          <w:color w:val="auto"/>
          <w:sz w:val="20"/>
          <w:szCs w:val="20"/>
        </w:rPr>
        <w:t>1000</w:t>
      </w:r>
      <w:r>
        <w:rPr>
          <w:color w:val="auto"/>
        </w:rPr>
        <w:t>个道具模型，包括人物模型，动物模型</w:t>
      </w:r>
      <w:r>
        <w:rPr>
          <w:rFonts w:hint="eastAsia"/>
          <w:color w:val="auto"/>
        </w:rPr>
        <w:t>，</w:t>
      </w:r>
      <w:r>
        <w:rPr>
          <w:color w:val="auto"/>
        </w:rPr>
        <w:t>植物模型，建筑模型。我们可以根据内心的真实想法，在沙盘上创造自己的内心世界，可以创建温暖的家，清新的公园；还可以想象自己未来的样子，在创造的过程中，使无意识的心理有形化，发现最真实的自我，帮助同学发现困惑的来源，解决心中的困惑。</w:t>
      </w:r>
    </w:p>
    <w:p>
      <w:pPr>
        <w:pStyle w:val="14"/>
        <w:tabs>
          <w:tab w:val="left" w:pos="711"/>
        </w:tabs>
        <w:spacing w:line="304" w:lineRule="exact"/>
        <w:jc w:val="both"/>
        <w:rPr>
          <w:color w:val="auto"/>
        </w:rPr>
      </w:pPr>
      <w:bookmarkStart w:id="663" w:name="bookmark1068"/>
      <w:bookmarkEnd w:id="663"/>
      <w:r>
        <w:rPr>
          <w:rFonts w:hint="eastAsia" w:ascii="Times New Roman" w:hAnsi="Times New Roman" w:cs="Times New Roman"/>
          <w:color w:val="auto"/>
          <w:sz w:val="20"/>
          <w:szCs w:val="20"/>
        </w:rPr>
        <w:t>5</w:t>
      </w:r>
      <w:r>
        <w:rPr>
          <w:rFonts w:ascii="Times New Roman" w:hAnsi="Times New Roman" w:cs="Times New Roman"/>
          <w:color w:val="auto"/>
          <w:sz w:val="20"/>
          <w:szCs w:val="20"/>
        </w:rPr>
        <w:t>.</w:t>
      </w:r>
      <w:r>
        <w:rPr>
          <w:color w:val="auto"/>
        </w:rPr>
        <w:t>身心反馈训练功能室：身心反馈训练系统是集生理和心理指标为一体的，通过音乐放松训练或者呼吸调节训练缓解来访者的焦虑</w:t>
      </w:r>
      <w:r>
        <w:rPr>
          <w:rFonts w:hint="eastAsia"/>
          <w:color w:val="auto"/>
        </w:rPr>
        <w:t>、</w:t>
      </w:r>
      <w:r>
        <w:rPr>
          <w:color w:val="auto"/>
        </w:rPr>
        <w:t>抑郁</w:t>
      </w:r>
      <w:r>
        <w:rPr>
          <w:rFonts w:hint="eastAsia"/>
          <w:color w:val="auto"/>
        </w:rPr>
        <w:t>、</w:t>
      </w:r>
      <w:r>
        <w:rPr>
          <w:color w:val="auto"/>
        </w:rPr>
        <w:t>伤感等不良情绪。通过专业设备，我们可以直接观察到自己的生理心理状态，了解自我机体状况的变化过程，学习自我调节内部心理生理变化，实现生理心理状况的自我优化。</w:t>
      </w:r>
    </w:p>
    <w:p>
      <w:pPr>
        <w:pStyle w:val="14"/>
        <w:tabs>
          <w:tab w:val="left" w:pos="711"/>
        </w:tabs>
        <w:spacing w:line="304" w:lineRule="exact"/>
        <w:jc w:val="both"/>
        <w:rPr>
          <w:color w:val="auto"/>
        </w:rPr>
      </w:pPr>
      <w:bookmarkStart w:id="664" w:name="bookmark1069"/>
      <w:bookmarkEnd w:id="664"/>
      <w:r>
        <w:rPr>
          <w:rFonts w:hint="eastAsia" w:ascii="Times New Roman" w:hAnsi="Times New Roman" w:cs="Times New Roman"/>
          <w:color w:val="auto"/>
          <w:sz w:val="20"/>
          <w:szCs w:val="20"/>
        </w:rPr>
        <w:t>6</w:t>
      </w:r>
      <w:r>
        <w:rPr>
          <w:rFonts w:ascii="Times New Roman" w:hAnsi="Times New Roman" w:cs="Times New Roman"/>
          <w:color w:val="auto"/>
          <w:sz w:val="20"/>
          <w:szCs w:val="20"/>
        </w:rPr>
        <w:t>.</w:t>
      </w:r>
      <w:r>
        <w:rPr>
          <w:color w:val="auto"/>
        </w:rPr>
        <w:t>心理普査与测评功能室：功能室配备了</w:t>
      </w:r>
      <w:r>
        <w:rPr>
          <w:rFonts w:ascii="Times New Roman" w:hAnsi="Times New Roman" w:eastAsia="Times New Roman" w:cs="Times New Roman"/>
          <w:color w:val="auto"/>
          <w:sz w:val="20"/>
          <w:szCs w:val="20"/>
        </w:rPr>
        <w:t>4</w:t>
      </w:r>
      <w:r>
        <w:rPr>
          <w:color w:val="auto"/>
        </w:rPr>
        <w:t>台测试电脑，安装了心海测评软件，主要是性格、兴趣、智力等心理专业量表问卷的测评，心理老师会细心专业的分析测试结果，帮助你更全面、深入地了解自己，认识自我的优缺点，为科学地改变和决策作出参考。</w:t>
      </w:r>
    </w:p>
    <w:p>
      <w:pPr>
        <w:pStyle w:val="14"/>
        <w:tabs>
          <w:tab w:val="left" w:pos="711"/>
        </w:tabs>
        <w:spacing w:line="304" w:lineRule="exact"/>
        <w:jc w:val="both"/>
        <w:rPr>
          <w:color w:val="auto"/>
        </w:rPr>
      </w:pPr>
      <w:bookmarkStart w:id="665" w:name="bookmark1070"/>
      <w:bookmarkEnd w:id="665"/>
      <w:r>
        <w:rPr>
          <w:rFonts w:hint="eastAsia" w:ascii="Times New Roman" w:hAnsi="Times New Roman" w:cs="Times New Roman"/>
          <w:color w:val="auto"/>
          <w:sz w:val="20"/>
          <w:szCs w:val="20"/>
        </w:rPr>
        <w:t>7</w:t>
      </w:r>
      <w:r>
        <w:rPr>
          <w:rFonts w:ascii="Times New Roman" w:hAnsi="Times New Roman" w:cs="Times New Roman"/>
          <w:color w:val="auto"/>
          <w:sz w:val="20"/>
          <w:szCs w:val="20"/>
        </w:rPr>
        <w:t>.</w:t>
      </w:r>
      <w:r>
        <w:rPr>
          <w:color w:val="auto"/>
        </w:rPr>
        <w:t>音乐放松训练功能室：功能室购置了舒适躺椅和音乐放松仪器，闭上眼睛，聆听感受优美宁静的音乐，在温和轻柔的操作指导语提示下，学会在心理表象中感受自然、体验放松。</w:t>
      </w:r>
    </w:p>
    <w:p>
      <w:pPr>
        <w:pStyle w:val="14"/>
        <w:tabs>
          <w:tab w:val="left" w:pos="716"/>
        </w:tabs>
        <w:spacing w:line="304" w:lineRule="exact"/>
        <w:jc w:val="both"/>
        <w:rPr>
          <w:color w:val="auto"/>
        </w:rPr>
      </w:pPr>
      <w:bookmarkStart w:id="666" w:name="bookmark1071"/>
      <w:bookmarkEnd w:id="666"/>
      <w:r>
        <w:rPr>
          <w:rFonts w:hint="eastAsia" w:ascii="Times New Roman" w:hAnsi="Times New Roman" w:cs="Times New Roman"/>
          <w:color w:val="auto"/>
          <w:sz w:val="20"/>
          <w:szCs w:val="20"/>
        </w:rPr>
        <w:t>8</w:t>
      </w:r>
      <w:r>
        <w:rPr>
          <w:rFonts w:ascii="Times New Roman" w:hAnsi="Times New Roman" w:cs="Times New Roman"/>
          <w:color w:val="auto"/>
          <w:sz w:val="20"/>
          <w:szCs w:val="20"/>
        </w:rPr>
        <w:t>.</w:t>
      </w:r>
      <w:r>
        <w:rPr>
          <w:color w:val="auto"/>
        </w:rPr>
        <w:t>团体心理辅导功能室：团体辅导室主要是会议、沙龙，团体辅导的场所。团体辅导是属于团队性活动，在专业心理老师的带领下，通过团体成员彼此互相分享想法、感受，以达到了解自我</w:t>
      </w:r>
      <w:r>
        <w:rPr>
          <w:rFonts w:hint="eastAsia"/>
          <w:color w:val="auto"/>
          <w:lang w:eastAsia="zh-CN"/>
        </w:rPr>
        <w:t>，</w:t>
      </w:r>
      <w:r>
        <w:rPr>
          <w:color w:val="auto"/>
        </w:rPr>
        <w:t>了解他人，更好地与他人交流互动。心理中心每学期会安排不同主题的团体心理辅导，请大家密切注意活动公告哟！</w:t>
      </w:r>
    </w:p>
    <w:p>
      <w:pPr>
        <w:pStyle w:val="14"/>
        <w:spacing w:after="280" w:line="304" w:lineRule="exact"/>
        <w:ind w:firstLine="420"/>
        <w:jc w:val="both"/>
        <w:rPr>
          <w:rFonts w:eastAsia="PMingLiU"/>
          <w:color w:val="auto"/>
        </w:rPr>
      </w:pPr>
      <w:r>
        <w:rPr>
          <w:color w:val="auto"/>
        </w:rPr>
        <w:t>此外，心理中心还提供心理健康教育主题讲座与培训、课程教学与研究、心理资讯宣传等服务。</w:t>
      </w:r>
    </w:p>
    <w:p>
      <w:pPr>
        <w:pStyle w:val="14"/>
        <w:spacing w:line="304" w:lineRule="exact"/>
        <w:ind w:firstLine="420"/>
        <w:jc w:val="both"/>
        <w:rPr>
          <w:color w:val="auto"/>
        </w:rPr>
      </w:pPr>
      <w:r>
        <w:rPr>
          <w:b/>
          <w:bCs/>
          <w:color w:val="auto"/>
        </w:rPr>
        <w:t>联系方式</w:t>
      </w:r>
      <w:r>
        <w:rPr>
          <w:color w:val="auto"/>
        </w:rPr>
        <w:t>：</w:t>
      </w:r>
    </w:p>
    <w:p>
      <w:pPr>
        <w:pStyle w:val="14"/>
        <w:tabs>
          <w:tab w:val="left" w:pos="776"/>
        </w:tabs>
        <w:spacing w:line="317" w:lineRule="exact"/>
        <w:rPr>
          <w:rFonts w:ascii="Times New Roman" w:hAnsi="Times New Roman" w:cs="Times New Roman"/>
          <w:color w:val="auto"/>
          <w:sz w:val="20"/>
          <w:szCs w:val="20"/>
          <w:lang w:val="en-US" w:eastAsia="zh-CN"/>
        </w:rPr>
      </w:pPr>
      <w:bookmarkStart w:id="667" w:name="bookmark1078"/>
      <w:bookmarkEnd w:id="667"/>
      <w:bookmarkStart w:id="668" w:name="bookmark1072"/>
      <w:bookmarkEnd w:id="668"/>
      <w:r>
        <w:rPr>
          <w:rFonts w:hint="eastAsia" w:ascii="Times New Roman" w:hAnsi="Times New Roman" w:cs="Times New Roman"/>
          <w:color w:val="auto"/>
          <w:sz w:val="20"/>
          <w:szCs w:val="20"/>
          <w:lang w:val="en-US" w:eastAsia="zh-CN"/>
        </w:rPr>
        <w:t>1.咨询接待地点：枫逸楼（大学生活动中心）二楼</w:t>
      </w:r>
    </w:p>
    <w:p>
      <w:pPr>
        <w:pStyle w:val="14"/>
        <w:tabs>
          <w:tab w:val="left" w:pos="776"/>
        </w:tabs>
        <w:spacing w:line="317" w:lineRule="exact"/>
        <w:rPr>
          <w:rFonts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2.预约咨询方式：关注“金城学院学生事务服务中心”微信公众号，点击“心理健康”进行咨询预约。</w:t>
      </w:r>
    </w:p>
    <w:p>
      <w:pPr>
        <w:pStyle w:val="14"/>
        <w:tabs>
          <w:tab w:val="left" w:pos="776"/>
        </w:tabs>
        <w:spacing w:line="317" w:lineRule="exact"/>
        <w:rPr>
          <w:rFonts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3.花花朋辈咨询QQ：3272636098</w:t>
      </w:r>
    </w:p>
    <w:p>
      <w:pPr>
        <w:pStyle w:val="14"/>
        <w:tabs>
          <w:tab w:val="left" w:pos="776"/>
        </w:tabs>
        <w:spacing w:line="317" w:lineRule="exact"/>
        <w:rPr>
          <w:rFonts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4.联系电话：025-87190170</w:t>
      </w:r>
    </w:p>
    <w:p>
      <w:pPr>
        <w:pStyle w:val="14"/>
        <w:tabs>
          <w:tab w:val="left" w:pos="776"/>
        </w:tabs>
        <w:spacing w:line="317" w:lineRule="exact"/>
        <w:rPr>
          <w:rFonts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中心开放时间：周一至周四：8:40～21:00；周五：8:40～17:50；周日：18:30～21:00</w:t>
      </w:r>
    </w:p>
    <w:p>
      <w:pPr>
        <w:pStyle w:val="14"/>
        <w:tabs>
          <w:tab w:val="left" w:pos="776"/>
        </w:tabs>
        <w:spacing w:line="317" w:lineRule="exact"/>
        <w:rPr>
          <w:rFonts w:ascii="Times New Roman" w:hAnsi="Times New Roman" w:cs="Times New Roman"/>
          <w:color w:val="auto"/>
          <w:sz w:val="20"/>
          <w:szCs w:val="20"/>
          <w:lang w:val="en-US" w:eastAsia="zh-CN"/>
        </w:rPr>
      </w:pPr>
      <w:r>
        <w:rPr>
          <w:rFonts w:hint="eastAsia" w:ascii="Times New Roman" w:hAnsi="Times New Roman" w:cs="Times New Roman"/>
          <w:b/>
          <w:bCs/>
          <w:color w:val="auto"/>
          <w:lang w:val="en-US" w:eastAsia="zh-CN"/>
        </w:rPr>
        <w:t>紧急求助：</w:t>
      </w:r>
    </w:p>
    <w:p>
      <w:pPr>
        <w:pStyle w:val="14"/>
        <w:tabs>
          <w:tab w:val="left" w:pos="776"/>
        </w:tabs>
        <w:spacing w:line="317" w:lineRule="exact"/>
        <w:rPr>
          <w:rFonts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1、江苏省大学生24小时心理服务热线025-58255200</w:t>
      </w:r>
    </w:p>
    <w:p>
      <w:pPr>
        <w:pStyle w:val="14"/>
        <w:tabs>
          <w:tab w:val="left" w:pos="776"/>
        </w:tabs>
        <w:spacing w:line="317" w:lineRule="exact"/>
        <w:rPr>
          <w:rFonts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2、江苏省大学生心理平台：苏心APP。打开苏心APP——选择“在校学生”身份进入——点击“我在你说”板块，可以随时进行文字、语音及视频免费咨询。服务时间：9:00-21:00。</w:t>
      </w:r>
    </w:p>
    <w:p>
      <w:pPr>
        <w:pStyle w:val="14"/>
        <w:spacing w:after="60" w:line="307" w:lineRule="exact"/>
        <w:ind w:firstLine="420"/>
        <w:rPr>
          <w:color w:val="auto"/>
        </w:rPr>
        <w:sectPr>
          <w:headerReference r:id="rId56" w:type="default"/>
          <w:footerReference r:id="rId58" w:type="default"/>
          <w:headerReference r:id="rId57" w:type="even"/>
          <w:footerReference r:id="rId59" w:type="even"/>
          <w:pgSz w:w="9800" w:h="15120"/>
          <w:pgMar w:top="1043" w:right="652" w:bottom="987" w:left="663" w:header="575" w:footer="3" w:gutter="0"/>
          <w:pgNumType w:fmt="decimal"/>
          <w:cols w:space="720" w:num="1"/>
          <w:docGrid w:linePitch="360" w:charSpace="0"/>
        </w:sectPr>
      </w:pPr>
    </w:p>
    <w:p>
      <w:pPr>
        <w:pStyle w:val="12"/>
        <w:keepNext/>
        <w:keepLines/>
        <w:spacing w:before="0" w:after="380" w:line="240" w:lineRule="auto"/>
        <w:rPr>
          <w:b/>
          <w:bCs/>
          <w:color w:val="auto"/>
        </w:rPr>
      </w:pPr>
      <w:bookmarkStart w:id="669" w:name="bookmark1079"/>
      <w:bookmarkStart w:id="670" w:name="bookmark1080"/>
      <w:bookmarkStart w:id="671" w:name="bookmark1081"/>
      <w:r>
        <w:rPr>
          <w:b/>
          <w:bCs/>
          <w:color w:val="auto"/>
        </w:rPr>
        <w:t>大学生职业发展与创业指导大厅服务指南</w:t>
      </w:r>
      <w:bookmarkEnd w:id="669"/>
      <w:bookmarkEnd w:id="670"/>
      <w:bookmarkEnd w:id="671"/>
    </w:p>
    <w:p>
      <w:pPr>
        <w:pStyle w:val="14"/>
        <w:spacing w:line="305" w:lineRule="exact"/>
        <w:ind w:firstLine="440"/>
        <w:jc w:val="both"/>
        <w:rPr>
          <w:color w:val="auto"/>
        </w:rPr>
      </w:pPr>
      <w:r>
        <w:rPr>
          <w:color w:val="auto"/>
        </w:rPr>
        <w:t>大学生职业发展与创业指导服务大厅于</w:t>
      </w:r>
      <w:r>
        <w:rPr>
          <w:rFonts w:ascii="Times New Roman" w:hAnsi="Times New Roman" w:eastAsia="Times New Roman" w:cs="Times New Roman"/>
          <w:color w:val="auto"/>
          <w:sz w:val="20"/>
          <w:szCs w:val="20"/>
        </w:rPr>
        <w:t>2010</w:t>
      </w:r>
      <w:r>
        <w:rPr>
          <w:color w:val="auto"/>
        </w:rPr>
        <w:t>年</w:t>
      </w:r>
      <w:r>
        <w:rPr>
          <w:rFonts w:ascii="Times New Roman" w:hAnsi="Times New Roman" w:eastAsia="Times New Roman" w:cs="Times New Roman"/>
          <w:color w:val="auto"/>
          <w:sz w:val="20"/>
          <w:szCs w:val="20"/>
        </w:rPr>
        <w:t>6</w:t>
      </w:r>
      <w:r>
        <w:rPr>
          <w:color w:val="auto"/>
        </w:rPr>
        <w:t>月建成，总面积</w:t>
      </w:r>
      <w:r>
        <w:rPr>
          <w:rFonts w:ascii="Times New Roman" w:hAnsi="Times New Roman" w:eastAsia="Times New Roman" w:cs="Times New Roman"/>
          <w:color w:val="auto"/>
          <w:sz w:val="20"/>
          <w:szCs w:val="20"/>
        </w:rPr>
        <w:t>400</w:t>
      </w:r>
      <w:r>
        <w:rPr>
          <w:color w:val="auto"/>
        </w:rPr>
        <w:t>余平米。大厅集毕业生招聘宣讲室、面试室、就业与创业指导培训室、职业发展咨询室、职业素质测评区、就业信息查阅区、远程视频面试区、职业辅导图书区、会议室、日常办公区等功能为一体，为广大学生和用人单位提供了设备一流、功能齐全、环境优雅的办事环境。</w:t>
      </w:r>
    </w:p>
    <w:p>
      <w:pPr>
        <w:pStyle w:val="14"/>
        <w:spacing w:line="305" w:lineRule="exact"/>
        <w:ind w:firstLine="440"/>
        <w:jc w:val="both"/>
        <w:rPr>
          <w:color w:val="auto"/>
        </w:rPr>
      </w:pPr>
      <w:r>
        <w:rPr>
          <w:color w:val="auto"/>
          <w:lang w:val="en-US" w:eastAsia="zh-CN" w:bidi="en-US"/>
        </w:rPr>
        <w:t>•</w:t>
      </w:r>
      <w:r>
        <w:rPr>
          <w:b/>
          <w:bCs/>
          <w:color w:val="auto"/>
        </w:rPr>
        <w:t>特色服务功能区介绍</w:t>
      </w:r>
    </w:p>
    <w:p>
      <w:pPr>
        <w:pStyle w:val="14"/>
        <w:tabs>
          <w:tab w:val="left" w:pos="733"/>
        </w:tabs>
        <w:spacing w:line="305" w:lineRule="exact"/>
        <w:jc w:val="both"/>
        <w:rPr>
          <w:color w:val="auto"/>
        </w:rPr>
      </w:pPr>
      <w:bookmarkStart w:id="672" w:name="bookmark1082"/>
      <w:bookmarkEnd w:id="672"/>
      <w:r>
        <w:rPr>
          <w:rFonts w:ascii="Times New Roman" w:hAnsi="Times New Roman" w:cs="Times New Roman" w:eastAsiaTheme="minorEastAsia"/>
          <w:color w:val="auto"/>
          <w:sz w:val="20"/>
          <w:szCs w:val="20"/>
          <w:lang w:eastAsia="zh-CN"/>
        </w:rPr>
        <w:t>1</w:t>
      </w:r>
      <w:r>
        <w:rPr>
          <w:rFonts w:ascii="Times New Roman" w:hAnsi="Times New Roman" w:eastAsia="PMingLiU" w:cs="Times New Roman"/>
          <w:color w:val="auto"/>
          <w:sz w:val="20"/>
          <w:szCs w:val="20"/>
        </w:rPr>
        <w:t>.</w:t>
      </w:r>
      <w:r>
        <w:rPr>
          <w:color w:val="auto"/>
        </w:rPr>
        <w:t>办公区：配有电脑、长途电话等设备，接待学生、家长及用人单位来电来人咨询，提供各类就业手续办理等服务。</w:t>
      </w:r>
    </w:p>
    <w:p>
      <w:pPr>
        <w:pStyle w:val="14"/>
        <w:tabs>
          <w:tab w:val="left" w:pos="733"/>
        </w:tabs>
        <w:spacing w:line="304" w:lineRule="exact"/>
        <w:jc w:val="both"/>
        <w:rPr>
          <w:color w:val="auto"/>
        </w:rPr>
      </w:pPr>
      <w:bookmarkStart w:id="673" w:name="bookmark1083"/>
      <w:bookmarkEnd w:id="673"/>
      <w:r>
        <w:rPr>
          <w:rFonts w:hint="eastAsia" w:ascii="Times New Roman" w:hAnsi="Times New Roman" w:cs="Times New Roman" w:eastAsiaTheme="minorEastAsia"/>
          <w:color w:val="auto"/>
          <w:sz w:val="20"/>
          <w:szCs w:val="20"/>
          <w:lang w:eastAsia="zh-CN"/>
        </w:rPr>
        <w:t>2</w:t>
      </w:r>
      <w:r>
        <w:rPr>
          <w:rFonts w:ascii="Times New Roman" w:hAnsi="Times New Roman" w:cs="Times New Roman" w:eastAsiaTheme="minorEastAsia"/>
          <w:color w:val="auto"/>
          <w:sz w:val="20"/>
          <w:szCs w:val="20"/>
          <w:lang w:eastAsia="zh-CN"/>
        </w:rPr>
        <w:t>.</w:t>
      </w:r>
      <w:r>
        <w:rPr>
          <w:color w:val="auto"/>
        </w:rPr>
        <w:t>基地铭牌展示区：学校从</w:t>
      </w:r>
      <w:r>
        <w:rPr>
          <w:rFonts w:ascii="Times New Roman" w:hAnsi="Times New Roman" w:eastAsia="Times New Roman" w:cs="Times New Roman"/>
          <w:color w:val="auto"/>
          <w:sz w:val="20"/>
          <w:szCs w:val="20"/>
        </w:rPr>
        <w:t>2010</w:t>
      </w:r>
      <w:r>
        <w:rPr>
          <w:color w:val="auto"/>
        </w:rPr>
        <w:t>年起全面启动大学生创新、实践、就业基地建设工作，加大与区域经济和各类企事业单位的合作力度。截至目前，学校已经与</w:t>
      </w:r>
      <w:r>
        <w:rPr>
          <w:rFonts w:ascii="Times New Roman" w:hAnsi="Times New Roman" w:eastAsia="Times New Roman" w:cs="Times New Roman"/>
          <w:color w:val="auto"/>
          <w:sz w:val="20"/>
          <w:szCs w:val="20"/>
        </w:rPr>
        <w:t>240</w:t>
      </w:r>
      <w:r>
        <w:rPr>
          <w:color w:val="auto"/>
        </w:rPr>
        <w:t>余家企业建立了较为紧密的合作关系，为学生创造了一大批稳定、质优的创新、实践、就业岗位，给学生提供了更多的成长成才和职业发展机会。</w:t>
      </w:r>
    </w:p>
    <w:p>
      <w:pPr>
        <w:pStyle w:val="14"/>
        <w:tabs>
          <w:tab w:val="left" w:pos="738"/>
        </w:tabs>
        <w:spacing w:line="304" w:lineRule="exact"/>
        <w:jc w:val="both"/>
        <w:rPr>
          <w:color w:val="auto"/>
        </w:rPr>
      </w:pPr>
      <w:bookmarkStart w:id="674" w:name="bookmark1084"/>
      <w:bookmarkEnd w:id="674"/>
      <w:r>
        <w:rPr>
          <w:rFonts w:hint="eastAsia" w:ascii="Times New Roman" w:hAnsi="Times New Roman" w:cs="Times New Roman" w:eastAsiaTheme="minorEastAsia"/>
          <w:color w:val="auto"/>
          <w:sz w:val="20"/>
          <w:szCs w:val="20"/>
          <w:lang w:eastAsia="zh-CN"/>
        </w:rPr>
        <w:t>3</w:t>
      </w:r>
      <w:r>
        <w:rPr>
          <w:rFonts w:ascii="Times New Roman" w:hAnsi="Times New Roman" w:cs="Times New Roman" w:eastAsiaTheme="minorEastAsia"/>
          <w:color w:val="auto"/>
          <w:sz w:val="20"/>
          <w:szCs w:val="20"/>
          <w:lang w:eastAsia="zh-CN"/>
        </w:rPr>
        <w:t>.</w:t>
      </w:r>
      <w:r>
        <w:rPr>
          <w:color w:val="auto"/>
        </w:rPr>
        <w:t>会议室：配有会议桌、白板、投影仪等设备，接待用人单位领导来访洽谈，提供各类会务服务。</w:t>
      </w:r>
    </w:p>
    <w:p>
      <w:pPr>
        <w:pStyle w:val="14"/>
        <w:tabs>
          <w:tab w:val="left" w:pos="733"/>
        </w:tabs>
        <w:spacing w:line="304" w:lineRule="exact"/>
        <w:jc w:val="both"/>
        <w:rPr>
          <w:color w:val="auto"/>
        </w:rPr>
      </w:pPr>
      <w:bookmarkStart w:id="675" w:name="bookmark1085"/>
      <w:bookmarkEnd w:id="675"/>
      <w:r>
        <w:rPr>
          <w:rFonts w:hint="eastAsia" w:ascii="Times New Roman" w:hAnsi="Times New Roman" w:cs="Times New Roman" w:eastAsiaTheme="minorEastAsia"/>
          <w:color w:val="auto"/>
          <w:sz w:val="20"/>
          <w:szCs w:val="20"/>
          <w:lang w:eastAsia="zh-CN"/>
        </w:rPr>
        <w:t>4</w:t>
      </w:r>
      <w:r>
        <w:rPr>
          <w:rFonts w:ascii="Times New Roman" w:hAnsi="Times New Roman" w:cs="Times New Roman" w:eastAsiaTheme="minorEastAsia"/>
          <w:color w:val="auto"/>
          <w:sz w:val="20"/>
          <w:szCs w:val="20"/>
          <w:lang w:eastAsia="zh-CN"/>
        </w:rPr>
        <w:t>.</w:t>
      </w:r>
      <w:r>
        <w:rPr>
          <w:color w:val="auto"/>
        </w:rPr>
        <w:t>招聘宣讲室：配有发言台、会议桌、投影仪、音响、网络等设备，组织举办各类校园专场招聘宣讲会，以为毕业生和用人单位搭建良好的双向交流平台，迄今已组织了苏宁集团、雨润集团、南京地铁集团、长安汽车、中兴通讯、江苏苏豪、南京网博、中国航空、东方航空、深圳航空、山东航空等一系列专场招聘会。于每年</w:t>
      </w:r>
      <w:r>
        <w:rPr>
          <w:rFonts w:ascii="Times New Roman" w:hAnsi="Times New Roman" w:eastAsia="Times New Roman" w:cs="Times New Roman"/>
          <w:color w:val="auto"/>
          <w:sz w:val="20"/>
          <w:szCs w:val="20"/>
          <w:lang w:val="en-US" w:eastAsia="zh-CN" w:bidi="en-US"/>
        </w:rPr>
        <w:t>4-5</w:t>
      </w:r>
      <w:r>
        <w:rPr>
          <w:color w:val="auto"/>
        </w:rPr>
        <w:t>月份举办</w:t>
      </w:r>
      <w:r>
        <w:rPr>
          <w:color w:val="auto"/>
          <w:lang w:val="zh-CN" w:eastAsia="zh-CN" w:bidi="zh-CN"/>
        </w:rPr>
        <w:t>“职业</w:t>
      </w:r>
      <w:r>
        <w:rPr>
          <w:color w:val="auto"/>
        </w:rPr>
        <w:t>生涯规划月暨就业竞争力拓展月”活动，组织开展就创业导师进校园、职业生涯规划、创业指导、就业竞争力拓展及就业技能培训活动，以帮助学生提升就业竞争力。</w:t>
      </w:r>
    </w:p>
    <w:p>
      <w:pPr>
        <w:pStyle w:val="14"/>
        <w:tabs>
          <w:tab w:val="left" w:pos="733"/>
        </w:tabs>
        <w:spacing w:line="304" w:lineRule="exact"/>
        <w:jc w:val="both"/>
        <w:rPr>
          <w:color w:val="auto"/>
        </w:rPr>
      </w:pPr>
      <w:bookmarkStart w:id="676" w:name="bookmark1086"/>
      <w:bookmarkEnd w:id="676"/>
      <w:r>
        <w:rPr>
          <w:rFonts w:hint="eastAsia" w:ascii="Times New Roman" w:hAnsi="Times New Roman" w:cs="Times New Roman" w:eastAsiaTheme="minorEastAsia"/>
          <w:color w:val="auto"/>
          <w:sz w:val="20"/>
          <w:szCs w:val="20"/>
          <w:lang w:eastAsia="zh-CN"/>
        </w:rPr>
        <w:t>5</w:t>
      </w:r>
      <w:r>
        <w:rPr>
          <w:rFonts w:ascii="Times New Roman" w:hAnsi="Times New Roman" w:cs="Times New Roman" w:eastAsiaTheme="minorEastAsia"/>
          <w:color w:val="auto"/>
          <w:sz w:val="20"/>
          <w:szCs w:val="20"/>
          <w:lang w:eastAsia="zh-CN"/>
        </w:rPr>
        <w:t>.</w:t>
      </w:r>
      <w:r>
        <w:rPr>
          <w:color w:val="auto"/>
        </w:rPr>
        <w:t>咨询室：配有沙发、茶几、网络等设备，为在校学生提供</w:t>
      </w:r>
      <w:r>
        <w:rPr>
          <w:color w:val="auto"/>
          <w:lang w:val="zh-CN" w:eastAsia="zh-CN" w:bidi="zh-CN"/>
        </w:rPr>
        <w:t>“面</w:t>
      </w:r>
      <w:r>
        <w:rPr>
          <w:color w:val="auto"/>
        </w:rPr>
        <w:t>对面”职业发展及就业咨询服务，以帮助学生解决职业规划、求职就业过程中遇到的各类问题</w:t>
      </w:r>
      <w:r>
        <w:rPr>
          <w:rFonts w:hint="eastAsia"/>
          <w:color w:val="auto"/>
        </w:rPr>
        <w:t>；</w:t>
      </w:r>
      <w:r>
        <w:rPr>
          <w:color w:val="auto"/>
        </w:rPr>
        <w:t>为毕业生和用人单位提供一流的招聘面试环境，以提高招聘效率。</w:t>
      </w:r>
    </w:p>
    <w:p>
      <w:pPr>
        <w:pStyle w:val="14"/>
        <w:tabs>
          <w:tab w:val="left" w:pos="733"/>
        </w:tabs>
        <w:spacing w:line="304" w:lineRule="exact"/>
        <w:jc w:val="both"/>
        <w:rPr>
          <w:color w:val="auto"/>
        </w:rPr>
      </w:pPr>
      <w:bookmarkStart w:id="677" w:name="bookmark1087"/>
      <w:bookmarkEnd w:id="677"/>
      <w:r>
        <w:rPr>
          <w:rFonts w:hint="eastAsia" w:ascii="Times New Roman" w:hAnsi="Times New Roman" w:cs="Times New Roman" w:eastAsiaTheme="minorEastAsia"/>
          <w:color w:val="auto"/>
          <w:sz w:val="20"/>
          <w:szCs w:val="20"/>
          <w:lang w:eastAsia="zh-CN"/>
        </w:rPr>
        <w:t>6</w:t>
      </w:r>
      <w:r>
        <w:rPr>
          <w:rFonts w:ascii="Times New Roman" w:hAnsi="Times New Roman" w:cs="Times New Roman" w:eastAsiaTheme="minorEastAsia"/>
          <w:color w:val="auto"/>
          <w:sz w:val="20"/>
          <w:szCs w:val="20"/>
          <w:lang w:eastAsia="zh-CN"/>
        </w:rPr>
        <w:t>.</w:t>
      </w:r>
      <w:r>
        <w:rPr>
          <w:color w:val="auto"/>
        </w:rPr>
        <w:t>职业素质测评、就业信息查阅、远程面试区：配有电脑、测评工具、远程面试工具及相关数据库等设备，为学生提供人才职业素质测评服务，以辅助学生做好个人职业生涯规划；为学生提供各行业和各地区就业信息查询、往届毕业生就业去向查询服务，以满足学生就业信息査阅的需求</w:t>
      </w:r>
      <w:r>
        <w:rPr>
          <w:rFonts w:hint="eastAsia"/>
          <w:color w:val="auto"/>
        </w:rPr>
        <w:t>；</w:t>
      </w:r>
      <w:r>
        <w:rPr>
          <w:color w:val="auto"/>
        </w:rPr>
        <w:t>为毕业生提供远程面试服务，以配合用人单位做好远程招聘工作。</w:t>
      </w:r>
    </w:p>
    <w:p>
      <w:pPr>
        <w:pStyle w:val="14"/>
        <w:tabs>
          <w:tab w:val="left" w:pos="733"/>
        </w:tabs>
        <w:spacing w:after="280" w:line="304" w:lineRule="exact"/>
        <w:jc w:val="both"/>
        <w:rPr>
          <w:color w:val="auto"/>
        </w:rPr>
      </w:pPr>
      <w:bookmarkStart w:id="678" w:name="bookmark1088"/>
      <w:bookmarkEnd w:id="678"/>
      <w:r>
        <w:rPr>
          <w:rFonts w:hint="eastAsia" w:ascii="Times New Roman" w:hAnsi="Times New Roman" w:cs="Times New Roman" w:eastAsiaTheme="minorEastAsia"/>
          <w:color w:val="auto"/>
          <w:sz w:val="20"/>
          <w:szCs w:val="20"/>
          <w:lang w:eastAsia="zh-CN"/>
        </w:rPr>
        <w:t>7</w:t>
      </w:r>
      <w:r>
        <w:rPr>
          <w:rFonts w:ascii="Times New Roman" w:hAnsi="Times New Roman" w:cs="Times New Roman" w:eastAsiaTheme="minorEastAsia"/>
          <w:color w:val="auto"/>
          <w:sz w:val="20"/>
          <w:szCs w:val="20"/>
          <w:lang w:eastAsia="zh-CN"/>
        </w:rPr>
        <w:t>.</w:t>
      </w:r>
      <w:r>
        <w:rPr>
          <w:color w:val="auto"/>
        </w:rPr>
        <w:t>职业辅导图书区：配有职业生涯规划、就业竞争力提升、职场素养、创业教育、人力资源管理、用人单位资料等类别图书角，提供图书阅览服务，以满足学生职业发展学习的内在需求。</w:t>
      </w:r>
    </w:p>
    <w:p>
      <w:pPr>
        <w:pStyle w:val="14"/>
        <w:spacing w:line="304" w:lineRule="exact"/>
        <w:ind w:firstLine="440"/>
        <w:jc w:val="both"/>
        <w:rPr>
          <w:color w:val="auto"/>
        </w:rPr>
      </w:pPr>
      <w:r>
        <w:rPr>
          <w:b/>
          <w:bCs/>
          <w:color w:val="auto"/>
        </w:rPr>
        <w:t>联系方式</w:t>
      </w:r>
      <w:r>
        <w:rPr>
          <w:color w:val="auto"/>
        </w:rPr>
        <w:t>：</w:t>
      </w:r>
    </w:p>
    <w:p>
      <w:pPr>
        <w:pStyle w:val="14"/>
        <w:numPr>
          <w:ilvl w:val="0"/>
          <w:numId w:val="9"/>
        </w:numPr>
        <w:tabs>
          <w:tab w:val="left" w:pos="727"/>
          <w:tab w:val="clear" w:pos="312"/>
        </w:tabs>
        <w:spacing w:line="304" w:lineRule="exact"/>
        <w:ind w:left="440" w:firstLine="0"/>
        <w:jc w:val="both"/>
        <w:rPr>
          <w:color w:val="auto"/>
        </w:rPr>
      </w:pPr>
      <w:bookmarkStart w:id="679" w:name="bookmark1089"/>
      <w:bookmarkEnd w:id="679"/>
      <w:r>
        <w:rPr>
          <w:rFonts w:hint="eastAsia"/>
          <w:color w:val="auto"/>
        </w:rPr>
        <w:t>咨询接待地点：枫逸楼（大学生活动中心）二楼</w:t>
      </w:r>
      <w:bookmarkStart w:id="680" w:name="bookmark1090"/>
      <w:bookmarkEnd w:id="680"/>
    </w:p>
    <w:p>
      <w:pPr>
        <w:pStyle w:val="14"/>
        <w:numPr>
          <w:ilvl w:val="0"/>
          <w:numId w:val="9"/>
        </w:numPr>
        <w:tabs>
          <w:tab w:val="left" w:pos="727"/>
          <w:tab w:val="clear" w:pos="312"/>
        </w:tabs>
        <w:spacing w:line="304" w:lineRule="exact"/>
        <w:ind w:left="440" w:firstLine="0"/>
        <w:jc w:val="both"/>
        <w:rPr>
          <w:color w:val="auto"/>
          <w:lang w:val="en-US" w:eastAsia="en-US" w:bidi="en-US"/>
        </w:rPr>
      </w:pPr>
      <w:r>
        <w:rPr>
          <w:rFonts w:hint="eastAsia"/>
          <w:color w:val="auto"/>
        </w:rPr>
        <w:t>电话：87190171</w:t>
      </w:r>
      <w:bookmarkStart w:id="681" w:name="bookmark1091"/>
      <w:bookmarkEnd w:id="681"/>
    </w:p>
    <w:p>
      <w:pPr>
        <w:pStyle w:val="14"/>
        <w:numPr>
          <w:ilvl w:val="0"/>
          <w:numId w:val="9"/>
        </w:numPr>
        <w:tabs>
          <w:tab w:val="left" w:pos="727"/>
          <w:tab w:val="clear" w:pos="312"/>
        </w:tabs>
        <w:spacing w:line="304" w:lineRule="exact"/>
        <w:ind w:left="440" w:firstLine="0"/>
        <w:jc w:val="both"/>
        <w:rPr>
          <w:color w:val="auto"/>
          <w:lang w:val="en-US" w:eastAsia="zh-CN" w:bidi="en-US"/>
        </w:rPr>
      </w:pPr>
      <w:r>
        <w:rPr>
          <w:rFonts w:hint="eastAsia" w:eastAsia="PMingLiU"/>
          <w:color w:val="auto"/>
        </w:rPr>
        <w:t>微信公众号：关注“金城学院学生事务服务中心”微信公众号，点击“就业信息”。</w:t>
      </w:r>
    </w:p>
    <w:p>
      <w:pPr>
        <w:pStyle w:val="14"/>
        <w:tabs>
          <w:tab w:val="left" w:pos="727"/>
        </w:tabs>
        <w:spacing w:line="304" w:lineRule="exact"/>
        <w:ind w:firstLine="0"/>
        <w:jc w:val="both"/>
        <w:rPr>
          <w:rFonts w:eastAsia="PMingLiU"/>
          <w:color w:val="auto"/>
        </w:rPr>
        <w:sectPr>
          <w:headerReference r:id="rId60" w:type="default"/>
          <w:footerReference r:id="rId62" w:type="default"/>
          <w:headerReference r:id="rId61" w:type="even"/>
          <w:footerReference r:id="rId63" w:type="even"/>
          <w:pgSz w:w="9800" w:h="15120"/>
          <w:pgMar w:top="1043" w:right="652" w:bottom="987" w:left="663" w:header="652" w:footer="3" w:gutter="0"/>
          <w:pgNumType w:fmt="decimal"/>
          <w:cols w:space="720" w:num="1"/>
          <w:docGrid w:linePitch="360" w:charSpace="0"/>
        </w:sectPr>
      </w:pPr>
      <w:bookmarkStart w:id="682" w:name="bookmark1093"/>
      <w:bookmarkEnd w:id="682"/>
      <w:bookmarkStart w:id="683" w:name="bookmark1092"/>
      <w:bookmarkEnd w:id="683"/>
      <w:bookmarkStart w:id="684" w:name="bookmark1094"/>
      <w:bookmarkEnd w:id="684"/>
    </w:p>
    <w:p>
      <w:pPr>
        <w:pStyle w:val="12"/>
        <w:keepNext/>
        <w:keepLines/>
        <w:spacing w:before="0" w:after="380" w:line="240" w:lineRule="auto"/>
        <w:rPr>
          <w:b/>
          <w:bCs/>
          <w:color w:val="auto"/>
        </w:rPr>
      </w:pPr>
      <w:bookmarkStart w:id="685" w:name="bookmark1097"/>
      <w:bookmarkStart w:id="686" w:name="bookmark1096"/>
      <w:bookmarkStart w:id="687" w:name="bookmark1095"/>
      <w:r>
        <w:rPr>
          <w:b/>
          <w:bCs/>
          <w:color w:val="auto"/>
        </w:rPr>
        <w:t>大学生创新创业园服务指南</w:t>
      </w:r>
      <w:bookmarkEnd w:id="685"/>
      <w:bookmarkEnd w:id="686"/>
      <w:bookmarkEnd w:id="687"/>
    </w:p>
    <w:p>
      <w:pPr>
        <w:pStyle w:val="14"/>
        <w:spacing w:line="304" w:lineRule="exact"/>
        <w:ind w:firstLine="440"/>
        <w:jc w:val="both"/>
        <w:rPr>
          <w:color w:val="auto"/>
        </w:rPr>
      </w:pPr>
      <w:r>
        <w:rPr>
          <w:color w:val="auto"/>
        </w:rPr>
        <w:t>大学生创新创业园于</w:t>
      </w:r>
      <w:r>
        <w:rPr>
          <w:rFonts w:ascii="Times New Roman" w:hAnsi="Times New Roman" w:eastAsia="Times New Roman" w:cs="Times New Roman"/>
          <w:color w:val="auto"/>
          <w:sz w:val="20"/>
          <w:szCs w:val="20"/>
        </w:rPr>
        <w:t>2014</w:t>
      </w:r>
      <w:r>
        <w:rPr>
          <w:color w:val="auto"/>
        </w:rPr>
        <w:t>年</w:t>
      </w:r>
      <w:r>
        <w:rPr>
          <w:rFonts w:ascii="Times New Roman" w:hAnsi="Times New Roman" w:eastAsia="Times New Roman" w:cs="Times New Roman"/>
          <w:color w:val="auto"/>
          <w:sz w:val="20"/>
          <w:szCs w:val="20"/>
        </w:rPr>
        <w:t>11</w:t>
      </w:r>
      <w:r>
        <w:rPr>
          <w:color w:val="auto"/>
        </w:rPr>
        <w:t>月建成，总面积</w:t>
      </w:r>
      <w:r>
        <w:rPr>
          <w:rFonts w:ascii="Times New Roman" w:hAnsi="Times New Roman" w:eastAsia="Times New Roman" w:cs="Times New Roman"/>
          <w:color w:val="auto"/>
          <w:sz w:val="20"/>
          <w:szCs w:val="20"/>
        </w:rPr>
        <w:t>1500</w:t>
      </w:r>
      <w:r>
        <w:rPr>
          <w:color w:val="auto"/>
        </w:rPr>
        <w:t>余平米，创业园集园区展示厅，创业团队孵化区，园区服务大厅，创业培训室，创业洽谈交流室等功能为一体，以提升大学生创新创业意识、开发大学生创新创业能力为宗旨，以培养富有创新创业精神的优秀人才为目标。对园区创业团队进行市场化管理，让参与学生有一个较为真实的创业环境体验，并以此为标杆引导广大在校生在课余时间积极关注社会动态和经济发展，形成良好的创新创业全员育人氛围。</w:t>
      </w:r>
    </w:p>
    <w:p>
      <w:pPr>
        <w:pStyle w:val="14"/>
        <w:spacing w:line="304" w:lineRule="exact"/>
        <w:ind w:firstLine="440"/>
        <w:jc w:val="both"/>
        <w:rPr>
          <w:color w:val="auto"/>
        </w:rPr>
      </w:pPr>
      <w:r>
        <w:rPr>
          <w:color w:val="auto"/>
          <w:lang w:val="en-US" w:eastAsia="zh-CN" w:bidi="en-US"/>
        </w:rPr>
        <w:t>•</w:t>
      </w:r>
      <w:r>
        <w:rPr>
          <w:b/>
          <w:bCs/>
          <w:color w:val="auto"/>
        </w:rPr>
        <w:t>特色服务功能区介绍</w:t>
      </w:r>
    </w:p>
    <w:p>
      <w:pPr>
        <w:pStyle w:val="14"/>
        <w:tabs>
          <w:tab w:val="left" w:pos="771"/>
        </w:tabs>
        <w:spacing w:line="304" w:lineRule="exact"/>
        <w:jc w:val="both"/>
        <w:rPr>
          <w:color w:val="auto"/>
        </w:rPr>
      </w:pPr>
      <w:bookmarkStart w:id="688" w:name="bookmark1098"/>
      <w:bookmarkEnd w:id="688"/>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展示厅：设置了园区发展史、大学生创业政策、创业导师名录、园区创业团队及园区荣誉展示五大区域。方便我校创业学生和各级领导部门对我校大学生创新创业园的工作进行详细的了解。</w:t>
      </w:r>
    </w:p>
    <w:p>
      <w:pPr>
        <w:pStyle w:val="14"/>
        <w:tabs>
          <w:tab w:val="left" w:pos="766"/>
        </w:tabs>
        <w:spacing w:line="304" w:lineRule="exact"/>
        <w:jc w:val="both"/>
        <w:rPr>
          <w:color w:val="auto"/>
        </w:rPr>
      </w:pPr>
      <w:bookmarkStart w:id="689" w:name="bookmark1099"/>
      <w:bookmarkEnd w:id="689"/>
      <w:r>
        <w:rPr>
          <w:rFonts w:hint="eastAsia" w:ascii="Times New Roman" w:hAnsi="Times New Roman" w:eastAsiaTheme="minorEastAsia"/>
          <w:color w:val="auto"/>
          <w:sz w:val="20"/>
          <w:lang w:eastAsia="zh-CN"/>
        </w:rPr>
        <w:t>2</w:t>
      </w:r>
      <w:r>
        <w:rPr>
          <w:rFonts w:ascii="Times New Roman" w:hAnsi="Times New Roman" w:eastAsia="PMingLiU"/>
          <w:color w:val="auto"/>
          <w:sz w:val="20"/>
        </w:rPr>
        <w:t>.</w:t>
      </w:r>
      <w:r>
        <w:rPr>
          <w:color w:val="auto"/>
        </w:rPr>
        <w:t>服务大厅：配有办公桌、办公椅、沙发、办公电脑。为园区创业团队和学校在校大学生提供创业方面：工商注册、税务登记、法律法务、创业贷款、创业政策、创业指导等一站式服务。</w:t>
      </w:r>
    </w:p>
    <w:p>
      <w:pPr>
        <w:pStyle w:val="14"/>
        <w:tabs>
          <w:tab w:val="left" w:pos="771"/>
        </w:tabs>
        <w:spacing w:line="304" w:lineRule="exact"/>
        <w:jc w:val="both"/>
        <w:rPr>
          <w:color w:val="auto"/>
        </w:rPr>
      </w:pPr>
      <w:bookmarkStart w:id="690" w:name="bookmark1100"/>
      <w:bookmarkEnd w:id="690"/>
      <w:r>
        <w:rPr>
          <w:rFonts w:hint="eastAsia" w:ascii="Times New Roman" w:hAnsi="Times New Roman" w:eastAsiaTheme="minorEastAsia"/>
          <w:color w:val="auto"/>
          <w:sz w:val="20"/>
          <w:lang w:eastAsia="zh-CN"/>
        </w:rPr>
        <w:t>3</w:t>
      </w:r>
      <w:r>
        <w:rPr>
          <w:rFonts w:ascii="Times New Roman" w:hAnsi="Times New Roman" w:eastAsia="PMingLiU"/>
          <w:color w:val="auto"/>
          <w:sz w:val="20"/>
        </w:rPr>
        <w:t>.</w:t>
      </w:r>
      <w:r>
        <w:rPr>
          <w:color w:val="auto"/>
        </w:rPr>
        <w:t>创业团队办公室：配有标准的办公桌、办公椅、会议桌、会议椅、铁皮柜以及无线路由器，园区为学生创业初期硬件设施做全方位的服务。</w:t>
      </w:r>
    </w:p>
    <w:p>
      <w:pPr>
        <w:pStyle w:val="14"/>
        <w:tabs>
          <w:tab w:val="left" w:pos="771"/>
        </w:tabs>
        <w:spacing w:line="304" w:lineRule="exact"/>
        <w:jc w:val="both"/>
        <w:rPr>
          <w:color w:val="auto"/>
        </w:rPr>
      </w:pPr>
      <w:bookmarkStart w:id="691" w:name="bookmark1101"/>
      <w:bookmarkEnd w:id="691"/>
      <w:r>
        <w:rPr>
          <w:rFonts w:hint="eastAsia" w:ascii="Times New Roman" w:hAnsi="Times New Roman" w:eastAsiaTheme="minorEastAsia"/>
          <w:color w:val="auto"/>
          <w:sz w:val="20"/>
          <w:lang w:eastAsia="zh-CN"/>
        </w:rPr>
        <w:t>4</w:t>
      </w:r>
      <w:r>
        <w:rPr>
          <w:rFonts w:ascii="Times New Roman" w:hAnsi="Times New Roman" w:eastAsia="PMingLiU"/>
          <w:color w:val="auto"/>
          <w:sz w:val="20"/>
        </w:rPr>
        <w:t>.</w:t>
      </w:r>
      <w:r>
        <w:rPr>
          <w:color w:val="auto"/>
        </w:rPr>
        <w:t>创</w:t>
      </w:r>
      <w:r>
        <w:rPr>
          <w:rFonts w:hint="eastAsia"/>
          <w:color w:val="auto"/>
        </w:rPr>
        <w:t>智空间</w:t>
      </w:r>
      <w:r>
        <w:rPr>
          <w:color w:val="auto"/>
        </w:rPr>
        <w:t>：配有培训椅、白板、投影仪。主要功能在园区为创业团队开展创业培训、创业导师进校园一对一指导、</w:t>
      </w:r>
      <w:r>
        <w:rPr>
          <w:rFonts w:ascii="Times New Roman" w:hAnsi="Times New Roman" w:eastAsia="Times New Roman" w:cs="Times New Roman"/>
          <w:color w:val="auto"/>
          <w:sz w:val="20"/>
          <w:szCs w:val="20"/>
          <w:lang w:val="en-US" w:eastAsia="zh-CN" w:bidi="en-US"/>
        </w:rPr>
        <w:t>SIYB</w:t>
      </w:r>
      <w:r>
        <w:rPr>
          <w:color w:val="auto"/>
        </w:rPr>
        <w:t>创业培训等。</w:t>
      </w:r>
    </w:p>
    <w:p>
      <w:pPr>
        <w:pStyle w:val="14"/>
        <w:tabs>
          <w:tab w:val="left" w:pos="766"/>
        </w:tabs>
        <w:spacing w:after="300" w:line="304" w:lineRule="exact"/>
        <w:jc w:val="both"/>
        <w:rPr>
          <w:color w:val="auto"/>
        </w:rPr>
      </w:pPr>
      <w:bookmarkStart w:id="692" w:name="bookmark1102"/>
      <w:bookmarkEnd w:id="692"/>
      <w:r>
        <w:rPr>
          <w:rFonts w:hint="eastAsia" w:ascii="Times New Roman" w:hAnsi="Times New Roman" w:eastAsiaTheme="minorEastAsia"/>
          <w:color w:val="auto"/>
          <w:sz w:val="20"/>
          <w:lang w:eastAsia="zh-CN"/>
        </w:rPr>
        <w:t>5</w:t>
      </w:r>
      <w:r>
        <w:rPr>
          <w:rFonts w:ascii="Times New Roman" w:hAnsi="Times New Roman" w:eastAsia="PMingLiU"/>
          <w:color w:val="auto"/>
          <w:sz w:val="20"/>
        </w:rPr>
        <w:t>.</w:t>
      </w:r>
      <w:r>
        <w:rPr>
          <w:color w:val="auto"/>
        </w:rPr>
        <w:t>洽谈交流室：配有会议桌、会议椅、沙发、办公桌、办公椅、铁皮柜及办公电脑，用于园区指导老师办公及接待，创业学生咨询及指导功能。</w:t>
      </w:r>
    </w:p>
    <w:p>
      <w:pPr>
        <w:pStyle w:val="14"/>
        <w:spacing w:line="304" w:lineRule="exact"/>
        <w:ind w:firstLine="440"/>
        <w:jc w:val="both"/>
        <w:rPr>
          <w:b/>
          <w:bCs/>
          <w:color w:val="auto"/>
        </w:rPr>
      </w:pPr>
      <w:r>
        <w:rPr>
          <w:b/>
          <w:bCs/>
          <w:color w:val="auto"/>
        </w:rPr>
        <w:t>联系方式：</w:t>
      </w:r>
    </w:p>
    <w:p>
      <w:pPr>
        <w:pStyle w:val="14"/>
        <w:tabs>
          <w:tab w:val="left" w:pos="765"/>
        </w:tabs>
        <w:spacing w:line="304" w:lineRule="exact"/>
        <w:ind w:left="440" w:firstLine="0"/>
        <w:jc w:val="both"/>
        <w:rPr>
          <w:color w:val="auto"/>
        </w:rPr>
      </w:pPr>
      <w:bookmarkStart w:id="693" w:name="bookmark1103"/>
      <w:bookmarkEnd w:id="693"/>
      <w:r>
        <w:rPr>
          <w:rFonts w:hint="eastAsia" w:ascii="Times New Roman" w:hAnsi="Times New Roman" w:eastAsiaTheme="minorEastAsia"/>
          <w:color w:val="auto"/>
          <w:sz w:val="20"/>
          <w:lang w:eastAsia="zh-CN"/>
        </w:rPr>
        <w:t>1</w:t>
      </w:r>
      <w:r>
        <w:rPr>
          <w:rFonts w:ascii="Times New Roman" w:hAnsi="Times New Roman" w:eastAsia="PMingLiU"/>
          <w:color w:val="auto"/>
          <w:sz w:val="20"/>
        </w:rPr>
        <w:t>.</w:t>
      </w:r>
      <w:r>
        <w:rPr>
          <w:color w:val="auto"/>
        </w:rPr>
        <w:t>咨询接待地点：大学生创新创业园洽谈交流室</w:t>
      </w:r>
    </w:p>
    <w:p>
      <w:pPr>
        <w:pStyle w:val="28"/>
        <w:tabs>
          <w:tab w:val="left" w:pos="784"/>
        </w:tabs>
        <w:spacing w:after="0"/>
        <w:ind w:left="440"/>
        <w:jc w:val="both"/>
        <w:rPr>
          <w:color w:val="auto"/>
        </w:rPr>
        <w:sectPr>
          <w:headerReference r:id="rId64" w:type="default"/>
          <w:footerReference r:id="rId66" w:type="default"/>
          <w:headerReference r:id="rId65" w:type="even"/>
          <w:footerReference r:id="rId67" w:type="even"/>
          <w:pgSz w:w="9800" w:h="15120"/>
          <w:pgMar w:top="1043" w:right="652" w:bottom="987" w:left="663" w:header="0" w:footer="3" w:gutter="0"/>
          <w:pgNumType w:fmt="decimal"/>
          <w:cols w:space="720" w:num="1"/>
          <w:docGrid w:linePitch="360" w:charSpace="0"/>
        </w:sectPr>
      </w:pPr>
      <w:bookmarkStart w:id="694" w:name="bookmark1104"/>
      <w:bookmarkEnd w:id="694"/>
      <w:r>
        <w:rPr>
          <w:rFonts w:hint="eastAsia" w:eastAsiaTheme="minorEastAsia"/>
          <w:color w:val="auto"/>
          <w:szCs w:val="18"/>
          <w:lang w:eastAsia="zh-CN"/>
        </w:rPr>
        <w:t>2</w:t>
      </w:r>
      <w:r>
        <w:rPr>
          <w:rFonts w:eastAsia="PMingLiU"/>
          <w:color w:val="auto"/>
          <w:szCs w:val="18"/>
        </w:rPr>
        <w:t>.</w:t>
      </w:r>
      <w:r>
        <w:rPr>
          <w:rFonts w:ascii="宋体" w:hAnsi="宋体"/>
          <w:color w:val="auto"/>
          <w:sz w:val="18"/>
          <w:szCs w:val="18"/>
        </w:rPr>
        <w:t>联系电话：</w:t>
      </w:r>
      <w:r>
        <w:rPr>
          <w:color w:val="auto"/>
          <w:lang w:val="en-US" w:eastAsia="zh-CN" w:bidi="en-US"/>
        </w:rPr>
        <w:t>025-87193072</w:t>
      </w:r>
    </w:p>
    <w:p>
      <w:pPr>
        <w:pStyle w:val="22"/>
        <w:spacing w:before="140" w:after="500"/>
        <w:jc w:val="both"/>
        <w:rPr>
          <w:rFonts w:eastAsia="PMingLiU"/>
          <w:color w:val="auto"/>
        </w:rPr>
      </w:pPr>
      <w:r>
        <w:rPr>
          <w:color w:val="auto"/>
        </w:rPr>
        <w:t>附录一:</w:t>
      </w:r>
    </w:p>
    <w:p>
      <w:pPr>
        <w:pStyle w:val="12"/>
        <w:keepNext/>
        <w:keepLines/>
        <w:spacing w:before="0" w:after="160" w:line="240" w:lineRule="auto"/>
        <w:rPr>
          <w:rFonts w:hint="eastAsia" w:eastAsia="宋体"/>
          <w:b/>
          <w:bCs/>
          <w:color w:val="auto"/>
          <w:lang w:eastAsia="zh-CN"/>
        </w:rPr>
      </w:pPr>
      <w:bookmarkStart w:id="695" w:name="bookmark1107"/>
      <w:r>
        <w:rPr>
          <w:b/>
          <w:bCs/>
          <w:color w:val="auto"/>
        </w:rPr>
        <w:t>南京航空航天大学金城学院</w:t>
      </w:r>
      <w:bookmarkEnd w:id="695"/>
      <w:bookmarkStart w:id="696" w:name="bookmark1108"/>
      <w:bookmarkStart w:id="697" w:name="bookmark1105"/>
      <w:bookmarkStart w:id="698" w:name="bookmark1106"/>
    </w:p>
    <w:p>
      <w:pPr>
        <w:pStyle w:val="12"/>
        <w:keepNext/>
        <w:keepLines/>
        <w:spacing w:before="0" w:after="160" w:line="240" w:lineRule="auto"/>
        <w:rPr>
          <w:b/>
          <w:bCs/>
          <w:color w:val="auto"/>
        </w:rPr>
      </w:pPr>
      <w:r>
        <w:rPr>
          <w:b/>
          <w:bCs/>
          <w:color w:val="auto"/>
        </w:rPr>
        <w:t>普通高等学校学生管理规定</w:t>
      </w:r>
      <w:bookmarkEnd w:id="696"/>
      <w:bookmarkEnd w:id="697"/>
      <w:bookmarkEnd w:id="698"/>
    </w:p>
    <w:p>
      <w:pPr>
        <w:pStyle w:val="18"/>
        <w:keepNext/>
        <w:keepLines/>
        <w:spacing w:after="600"/>
        <w:rPr>
          <w:b/>
          <w:bCs/>
          <w:color w:val="auto"/>
        </w:rPr>
      </w:pPr>
      <w:bookmarkStart w:id="699" w:name="bookmark1111"/>
      <w:bookmarkStart w:id="700" w:name="bookmark1109"/>
      <w:bookmarkStart w:id="701" w:name="bookmark1110"/>
      <w:r>
        <w:rPr>
          <w:b/>
          <w:bCs/>
          <w:color w:val="auto"/>
        </w:rPr>
        <w:t>第一章总则</w:t>
      </w:r>
      <w:bookmarkEnd w:id="699"/>
      <w:bookmarkEnd w:id="700"/>
      <w:bookmarkEnd w:id="701"/>
    </w:p>
    <w:p>
      <w:pPr>
        <w:pStyle w:val="14"/>
        <w:spacing w:line="302" w:lineRule="exact"/>
        <w:ind w:firstLine="420"/>
        <w:jc w:val="both"/>
        <w:rPr>
          <w:color w:val="auto"/>
        </w:rPr>
      </w:pPr>
      <w:r>
        <w:rPr>
          <w:b/>
          <w:bCs/>
          <w:color w:val="auto"/>
        </w:rPr>
        <w:t>第一条</w:t>
      </w:r>
      <w:r>
        <w:rPr>
          <w:color w:val="auto"/>
        </w:rPr>
        <w:t>为规范普通高等学校学生管理行为，维护普通高等学校正常的教育教学秩序和生活秩序，保障学生合法权益，培养</w:t>
      </w:r>
      <w:r>
        <w:rPr>
          <w:rFonts w:hint="eastAsia"/>
          <w:color w:val="auto"/>
          <w:lang w:eastAsia="zh-CN"/>
        </w:rPr>
        <w:t>德、智、体、美、劳</w:t>
      </w:r>
      <w:r>
        <w:rPr>
          <w:color w:val="auto"/>
        </w:rPr>
        <w:t>等方面全面发展的社会主义建设者和接班人，依据教育法、高等教育法以及有关法律、法规，制定本规定。</w:t>
      </w:r>
    </w:p>
    <w:p>
      <w:pPr>
        <w:pStyle w:val="14"/>
        <w:spacing w:line="302" w:lineRule="exact"/>
        <w:ind w:firstLine="420"/>
        <w:jc w:val="both"/>
        <w:rPr>
          <w:color w:val="auto"/>
        </w:rPr>
      </w:pPr>
      <w:r>
        <w:rPr>
          <w:b/>
          <w:bCs/>
          <w:color w:val="auto"/>
        </w:rPr>
        <w:t>第二条</w:t>
      </w:r>
      <w:r>
        <w:rPr>
          <w:color w:val="auto"/>
        </w:rPr>
        <w:t>本规定适用于普通高等学校、承担研究生教育任务的科学研究机构（以下称学校）对接受普通高等学历教育的研究生和本科、专科（高职）学生（以下称学生）的管理。</w:t>
      </w:r>
    </w:p>
    <w:p>
      <w:pPr>
        <w:pStyle w:val="14"/>
        <w:spacing w:line="302" w:lineRule="exact"/>
        <w:ind w:firstLine="420"/>
        <w:jc w:val="both"/>
        <w:rPr>
          <w:color w:val="auto"/>
        </w:rPr>
      </w:pPr>
      <w:r>
        <w:rPr>
          <w:b/>
          <w:bCs/>
          <w:color w:val="auto"/>
        </w:rPr>
        <w:t>第三条</w:t>
      </w:r>
      <w:r>
        <w:rPr>
          <w:color w:val="auto"/>
        </w:rPr>
        <w:t>学校要坚持社会主义办学方向，坚持马克思主义的指导地位，全面贯彻国家教育方针；要坚持以立德树人为根本，以理想信念教育为核心，培育和践行社会主义核心价值观</w:t>
      </w:r>
      <w:r>
        <w:rPr>
          <w:rFonts w:hint="eastAsia"/>
          <w:color w:val="auto"/>
          <w:lang w:eastAsia="zh-CN"/>
        </w:rPr>
        <w:t>，</w:t>
      </w:r>
      <w:r>
        <w:rPr>
          <w:color w:val="auto"/>
        </w:rPr>
        <w:t>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pStyle w:val="14"/>
        <w:spacing w:line="302" w:lineRule="exact"/>
        <w:ind w:firstLine="420"/>
        <w:jc w:val="both"/>
        <w:rPr>
          <w:color w:val="auto"/>
        </w:rPr>
      </w:pPr>
      <w:r>
        <w:rPr>
          <w:b/>
          <w:bCs/>
          <w:color w:val="auto"/>
        </w:rPr>
        <w:t>第四条</w:t>
      </w:r>
      <w:r>
        <w:rPr>
          <w:color w:val="auto"/>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14"/>
        <w:spacing w:after="380" w:line="302" w:lineRule="exact"/>
        <w:ind w:firstLine="420"/>
        <w:jc w:val="both"/>
        <w:rPr>
          <w:color w:val="auto"/>
        </w:rPr>
      </w:pPr>
      <w:r>
        <w:rPr>
          <w:b/>
          <w:bCs/>
          <w:color w:val="auto"/>
        </w:rPr>
        <w:t>第五条</w:t>
      </w:r>
      <w:r>
        <w:rPr>
          <w:color w:val="auto"/>
        </w:rPr>
        <w:t>实施学生管理，应当尊重和保护学生的合法权利，教育和引导学生承担应尽的义务与责任，鼓励和支持学生实行自我管理、自我服务、自我教育、自我监督。</w:t>
      </w:r>
    </w:p>
    <w:p>
      <w:pPr>
        <w:pStyle w:val="18"/>
        <w:keepNext/>
        <w:keepLines/>
        <w:spacing w:after="380"/>
        <w:rPr>
          <w:b/>
          <w:bCs/>
          <w:color w:val="auto"/>
        </w:rPr>
      </w:pPr>
      <w:bookmarkStart w:id="702" w:name="bookmark1113"/>
      <w:bookmarkStart w:id="703" w:name="bookmark1114"/>
      <w:bookmarkStart w:id="704" w:name="bookmark1112"/>
      <w:r>
        <w:rPr>
          <w:b/>
          <w:bCs/>
          <w:color w:val="auto"/>
        </w:rPr>
        <w:t>第二章学生的权利与义务</w:t>
      </w:r>
      <w:bookmarkEnd w:id="702"/>
      <w:bookmarkEnd w:id="703"/>
      <w:bookmarkEnd w:id="704"/>
    </w:p>
    <w:p>
      <w:pPr>
        <w:pStyle w:val="14"/>
        <w:spacing w:line="240" w:lineRule="auto"/>
        <w:ind w:firstLine="420"/>
        <w:jc w:val="both"/>
        <w:rPr>
          <w:color w:val="auto"/>
        </w:rPr>
      </w:pPr>
      <w:r>
        <w:rPr>
          <w:b/>
          <w:bCs/>
          <w:color w:val="auto"/>
        </w:rPr>
        <w:t>第六条</w:t>
      </w:r>
      <w:r>
        <w:rPr>
          <w:color w:val="auto"/>
        </w:rPr>
        <w:t>学生在校期间依法享有下列权利：</w:t>
      </w:r>
    </w:p>
    <w:p>
      <w:pPr>
        <w:pStyle w:val="14"/>
        <w:spacing w:line="305" w:lineRule="exact"/>
        <w:ind w:firstLine="420"/>
        <w:jc w:val="both"/>
        <w:rPr>
          <w:color w:val="auto"/>
        </w:rPr>
      </w:pPr>
      <w:r>
        <w:rPr>
          <w:color w:val="auto"/>
        </w:rPr>
        <w:t>（</w:t>
      </w:r>
      <w:r>
        <w:rPr>
          <w:rFonts w:hint="eastAsia"/>
          <w:color w:val="auto"/>
        </w:rPr>
        <w:t>一</w:t>
      </w:r>
      <w:r>
        <w:rPr>
          <w:color w:val="auto"/>
        </w:rPr>
        <w:t>）参加学校教育教学计划安排的各项活动，使用学校提供的教育教学资源；</w:t>
      </w:r>
    </w:p>
    <w:p>
      <w:pPr>
        <w:pStyle w:val="14"/>
        <w:spacing w:line="305" w:lineRule="exact"/>
        <w:ind w:firstLine="420"/>
        <w:jc w:val="both"/>
        <w:rPr>
          <w:color w:val="auto"/>
        </w:rPr>
      </w:pPr>
      <w:r>
        <w:rPr>
          <w:color w:val="auto"/>
        </w:rPr>
        <w:t>（二）参加社会实践、志愿服务、勤工助学、文娱体育及科技文化创新等活动，获得就业创业指导和服务；</w:t>
      </w:r>
    </w:p>
    <w:p>
      <w:pPr>
        <w:pStyle w:val="14"/>
        <w:spacing w:line="305" w:lineRule="exact"/>
        <w:ind w:firstLine="420"/>
        <w:jc w:val="both"/>
        <w:rPr>
          <w:color w:val="auto"/>
        </w:rPr>
      </w:pPr>
      <w:r>
        <w:rPr>
          <w:color w:val="auto"/>
        </w:rPr>
        <w:t>（三）申请奖学金、助学金及助学贷款；</w:t>
      </w:r>
    </w:p>
    <w:p>
      <w:pPr>
        <w:pStyle w:val="14"/>
        <w:spacing w:line="305" w:lineRule="exact"/>
        <w:ind w:firstLine="420"/>
        <w:jc w:val="both"/>
        <w:rPr>
          <w:color w:val="auto"/>
        </w:rPr>
      </w:pPr>
      <w:r>
        <w:rPr>
          <w:color w:val="auto"/>
        </w:rPr>
        <w:t>（四）在思想品德、学业成绩等方面获得科学、公正评价，完成学校规定学业后获得相应的学历证书、学位证书；</w:t>
      </w:r>
    </w:p>
    <w:p>
      <w:pPr>
        <w:pStyle w:val="14"/>
        <w:tabs>
          <w:tab w:val="left" w:pos="646"/>
        </w:tabs>
        <w:spacing w:line="305" w:lineRule="exact"/>
        <w:ind w:firstLine="420"/>
        <w:jc w:val="both"/>
        <w:rPr>
          <w:color w:val="auto"/>
        </w:rPr>
      </w:pPr>
      <w:r>
        <w:rPr>
          <w:color w:val="auto"/>
        </w:rPr>
        <w:t>（五）在校内组织、参加学生团体，以适当方式参与学校管理，对学校与学生权益相关事务享有知情权、参与权、表达权和监督权；</w:t>
      </w:r>
    </w:p>
    <w:p>
      <w:pPr>
        <w:pStyle w:val="14"/>
        <w:spacing w:line="326" w:lineRule="exact"/>
        <w:ind w:firstLine="420"/>
        <w:jc w:val="both"/>
        <w:rPr>
          <w:color w:val="auto"/>
        </w:rPr>
      </w:pPr>
      <w:r>
        <w:rPr>
          <w:color w:val="auto"/>
        </w:rPr>
        <w:t>（六）对学校给予的处理或者处分有异议，向学校、教育行政部门提出申诉，对学校、教职员工侵犯其人身权、财产权等合法权益的行为，提出申诉或者依法提起诉讼；</w:t>
      </w:r>
    </w:p>
    <w:p>
      <w:pPr>
        <w:pStyle w:val="14"/>
        <w:spacing w:line="326" w:lineRule="exact"/>
        <w:ind w:firstLine="420"/>
        <w:jc w:val="both"/>
        <w:rPr>
          <w:color w:val="auto"/>
        </w:rPr>
      </w:pPr>
      <w:r>
        <w:rPr>
          <w:color w:val="auto"/>
        </w:rPr>
        <w:t>（七）法律、法规及学校章程规定的其他权利。</w:t>
      </w:r>
    </w:p>
    <w:p>
      <w:pPr>
        <w:pStyle w:val="14"/>
        <w:spacing w:line="326" w:lineRule="exact"/>
        <w:ind w:firstLine="420"/>
        <w:jc w:val="both"/>
        <w:rPr>
          <w:color w:val="auto"/>
        </w:rPr>
      </w:pPr>
      <w:r>
        <w:rPr>
          <w:b/>
          <w:bCs/>
          <w:color w:val="auto"/>
        </w:rPr>
        <w:t>第七条</w:t>
      </w:r>
      <w:r>
        <w:rPr>
          <w:color w:val="auto"/>
        </w:rPr>
        <w:t>学生在校期间依法履行下列义务：</w:t>
      </w:r>
    </w:p>
    <w:p>
      <w:pPr>
        <w:pStyle w:val="14"/>
        <w:spacing w:line="326" w:lineRule="exact"/>
        <w:ind w:firstLine="420"/>
        <w:jc w:val="both"/>
        <w:rPr>
          <w:color w:val="auto"/>
        </w:rPr>
      </w:pPr>
      <w:r>
        <w:rPr>
          <w:color w:val="auto"/>
        </w:rPr>
        <w:t>（</w:t>
      </w:r>
      <w:r>
        <w:rPr>
          <w:rFonts w:hint="eastAsia"/>
          <w:color w:val="auto"/>
        </w:rPr>
        <w:t>一</w:t>
      </w:r>
      <w:r>
        <w:rPr>
          <w:color w:val="auto"/>
        </w:rPr>
        <w:t>）遵守宪法和法律、法规；</w:t>
      </w:r>
    </w:p>
    <w:p>
      <w:pPr>
        <w:pStyle w:val="14"/>
        <w:spacing w:line="326" w:lineRule="exact"/>
        <w:ind w:firstLine="420"/>
        <w:jc w:val="both"/>
        <w:rPr>
          <w:color w:val="auto"/>
        </w:rPr>
      </w:pPr>
      <w:r>
        <w:rPr>
          <w:color w:val="auto"/>
        </w:rPr>
        <w:t>（二）遵守学校章程和规章制度；</w:t>
      </w:r>
    </w:p>
    <w:p>
      <w:pPr>
        <w:pStyle w:val="14"/>
        <w:spacing w:after="60" w:line="326" w:lineRule="exact"/>
        <w:ind w:firstLine="420"/>
        <w:jc w:val="both"/>
        <w:rPr>
          <w:color w:val="auto"/>
        </w:rPr>
      </w:pPr>
      <w:r>
        <w:rPr>
          <w:color w:val="auto"/>
        </w:rPr>
        <w:t>（三）恪守学术道德，完成规定学业；</w:t>
      </w:r>
    </w:p>
    <w:p>
      <w:pPr>
        <w:pStyle w:val="14"/>
        <w:spacing w:after="60" w:line="240" w:lineRule="auto"/>
        <w:ind w:firstLine="420"/>
        <w:jc w:val="both"/>
        <w:rPr>
          <w:color w:val="auto"/>
        </w:rPr>
      </w:pPr>
      <w:r>
        <w:rPr>
          <w:color w:val="auto"/>
        </w:rPr>
        <w:t>（四）按规定缴纳学费及有关费用，履行获得贷学金及助学金的相应义务；</w:t>
      </w:r>
    </w:p>
    <w:p>
      <w:pPr>
        <w:pStyle w:val="14"/>
        <w:spacing w:line="240" w:lineRule="auto"/>
        <w:ind w:firstLine="420"/>
        <w:jc w:val="both"/>
        <w:rPr>
          <w:color w:val="auto"/>
        </w:rPr>
      </w:pPr>
      <w:r>
        <w:rPr>
          <w:color w:val="auto"/>
        </w:rPr>
        <w:t>（五）遵守学生行为规范，尊敬师长，养成良好的思想品德和行为习惯；</w:t>
      </w:r>
    </w:p>
    <w:p>
      <w:pPr>
        <w:pStyle w:val="14"/>
        <w:spacing w:after="380" w:line="326" w:lineRule="exact"/>
        <w:ind w:firstLine="420"/>
        <w:jc w:val="both"/>
        <w:rPr>
          <w:color w:val="auto"/>
        </w:rPr>
      </w:pPr>
      <w:r>
        <w:rPr>
          <w:color w:val="auto"/>
        </w:rPr>
        <w:t>（六）法律、法规及学校章程规定的其他义务。</w:t>
      </w:r>
    </w:p>
    <w:p>
      <w:pPr>
        <w:pStyle w:val="18"/>
        <w:keepNext/>
        <w:keepLines/>
        <w:spacing w:after="540"/>
        <w:rPr>
          <w:b/>
          <w:bCs/>
          <w:color w:val="auto"/>
        </w:rPr>
      </w:pPr>
      <w:bookmarkStart w:id="705" w:name="bookmark1128"/>
      <w:bookmarkStart w:id="706" w:name="bookmark1126"/>
      <w:bookmarkStart w:id="707" w:name="bookmark1127"/>
      <w:r>
        <w:rPr>
          <w:b/>
          <w:bCs/>
          <w:color w:val="auto"/>
        </w:rPr>
        <w:t>第三章学籍管理</w:t>
      </w:r>
      <w:bookmarkEnd w:id="705"/>
      <w:bookmarkEnd w:id="706"/>
      <w:bookmarkEnd w:id="707"/>
    </w:p>
    <w:p>
      <w:pPr>
        <w:pStyle w:val="22"/>
        <w:spacing w:after="140"/>
        <w:ind w:firstLine="420"/>
        <w:jc w:val="both"/>
        <w:rPr>
          <w:b/>
          <w:bCs/>
          <w:color w:val="auto"/>
        </w:rPr>
      </w:pPr>
      <w:r>
        <w:rPr>
          <w:b/>
          <w:bCs/>
          <w:color w:val="auto"/>
        </w:rPr>
        <w:t>第一节入学与注册</w:t>
      </w:r>
    </w:p>
    <w:p>
      <w:pPr>
        <w:pStyle w:val="14"/>
        <w:spacing w:line="302" w:lineRule="exact"/>
        <w:ind w:firstLine="420"/>
        <w:jc w:val="both"/>
        <w:rPr>
          <w:color w:val="auto"/>
        </w:rPr>
      </w:pPr>
      <w:r>
        <w:rPr>
          <w:b/>
          <w:bCs/>
          <w:color w:val="auto"/>
        </w:rPr>
        <w:t>第八条</w:t>
      </w:r>
      <w:r>
        <w:rPr>
          <w:color w:val="auto"/>
        </w:rPr>
        <w:t>按国家招生规定录取的新生，持录取通知书，按学校有关要求和规定的期限到校办理入学手续。因故不能按期入学的，应当向学校请假。未请假或者请假逾期的，除因不可抗力等正当事由以外，视为放弃入学资格。</w:t>
      </w:r>
    </w:p>
    <w:p>
      <w:pPr>
        <w:pStyle w:val="14"/>
        <w:spacing w:line="302" w:lineRule="exact"/>
        <w:ind w:firstLine="420"/>
        <w:jc w:val="both"/>
        <w:rPr>
          <w:color w:val="auto"/>
        </w:rPr>
      </w:pPr>
      <w:r>
        <w:rPr>
          <w:b/>
          <w:bCs/>
          <w:color w:val="auto"/>
        </w:rPr>
        <w:t>第九条</w:t>
      </w:r>
      <w:r>
        <w:rPr>
          <w:color w:val="auto"/>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14"/>
        <w:spacing w:line="302" w:lineRule="exact"/>
        <w:ind w:firstLine="420"/>
        <w:jc w:val="both"/>
        <w:rPr>
          <w:color w:val="auto"/>
        </w:rPr>
      </w:pPr>
      <w:r>
        <w:rPr>
          <w:b/>
          <w:bCs/>
          <w:color w:val="auto"/>
        </w:rPr>
        <w:t>第十条</w:t>
      </w:r>
      <w:r>
        <w:rPr>
          <w:color w:val="auto"/>
        </w:rPr>
        <w:t>新生可以申请保留入学资格。保留入学资格期间不具有学籍。保留入学资格的条件、期限等由学校规定。</w:t>
      </w:r>
    </w:p>
    <w:p>
      <w:pPr>
        <w:pStyle w:val="14"/>
        <w:spacing w:line="302" w:lineRule="exact"/>
        <w:ind w:firstLine="420"/>
        <w:jc w:val="both"/>
        <w:rPr>
          <w:color w:val="auto"/>
        </w:rPr>
      </w:pPr>
      <w:r>
        <w:rPr>
          <w:color w:val="auto"/>
        </w:rPr>
        <w:t>新生保留入学资格期满前应向学校申请入学，经学校审查合格后，办理入学手续。审查不合格的，取消入学资格；逾期不办理入学手续且未有因不可抗力延迟等正当理由的，视为放弃入学资格。</w:t>
      </w:r>
    </w:p>
    <w:p>
      <w:pPr>
        <w:pStyle w:val="14"/>
        <w:spacing w:line="326" w:lineRule="exact"/>
        <w:ind w:firstLine="420"/>
        <w:jc w:val="both"/>
        <w:rPr>
          <w:color w:val="auto"/>
        </w:rPr>
      </w:pPr>
      <w:r>
        <w:rPr>
          <w:b/>
          <w:bCs/>
          <w:color w:val="auto"/>
        </w:rPr>
        <w:t>第十一条</w:t>
      </w:r>
      <w:r>
        <w:rPr>
          <w:color w:val="auto"/>
        </w:rPr>
        <w:t>学生入学后，学校应当在</w:t>
      </w:r>
      <w:r>
        <w:rPr>
          <w:rFonts w:ascii="Times New Roman" w:hAnsi="Times New Roman" w:eastAsia="Times New Roman" w:cs="Times New Roman"/>
          <w:color w:val="auto"/>
          <w:sz w:val="20"/>
          <w:szCs w:val="20"/>
        </w:rPr>
        <w:t>3</w:t>
      </w:r>
      <w:r>
        <w:rPr>
          <w:color w:val="auto"/>
        </w:rPr>
        <w:t>个月内按照国家招生规定进行复查。复查内容主要包括以下方面：</w:t>
      </w:r>
    </w:p>
    <w:p>
      <w:pPr>
        <w:pStyle w:val="14"/>
        <w:spacing w:line="299" w:lineRule="exact"/>
        <w:ind w:firstLine="420"/>
        <w:jc w:val="both"/>
        <w:rPr>
          <w:color w:val="auto"/>
        </w:rPr>
      </w:pPr>
      <w:r>
        <w:rPr>
          <w:color w:val="auto"/>
        </w:rPr>
        <w:t>（</w:t>
      </w:r>
      <w:r>
        <w:rPr>
          <w:rFonts w:hint="eastAsia"/>
          <w:color w:val="auto"/>
        </w:rPr>
        <w:t>一</w:t>
      </w:r>
      <w:r>
        <w:rPr>
          <w:color w:val="auto"/>
        </w:rPr>
        <w:t>）录取手续及程序等是否合乎国家招生规定；</w:t>
      </w:r>
    </w:p>
    <w:p>
      <w:pPr>
        <w:pStyle w:val="14"/>
        <w:spacing w:line="299" w:lineRule="exact"/>
        <w:ind w:firstLine="420"/>
        <w:jc w:val="both"/>
        <w:rPr>
          <w:color w:val="auto"/>
        </w:rPr>
      </w:pPr>
      <w:r>
        <w:rPr>
          <w:color w:val="auto"/>
        </w:rPr>
        <w:t>（二）所获得的录取资格是否真实、合乎相关规定；</w:t>
      </w:r>
    </w:p>
    <w:p>
      <w:pPr>
        <w:pStyle w:val="14"/>
        <w:spacing w:line="299" w:lineRule="exact"/>
        <w:ind w:firstLine="420"/>
        <w:jc w:val="both"/>
        <w:rPr>
          <w:color w:val="auto"/>
        </w:rPr>
      </w:pPr>
      <w:r>
        <w:rPr>
          <w:color w:val="auto"/>
        </w:rPr>
        <w:t>（三）本人及身份证明与录取通知、考生档案等是否一致；</w:t>
      </w:r>
    </w:p>
    <w:p>
      <w:pPr>
        <w:pStyle w:val="14"/>
        <w:spacing w:line="299" w:lineRule="exact"/>
        <w:ind w:firstLine="420"/>
        <w:jc w:val="both"/>
        <w:rPr>
          <w:color w:val="auto"/>
        </w:rPr>
      </w:pPr>
      <w:r>
        <w:rPr>
          <w:color w:val="auto"/>
        </w:rPr>
        <w:t>（四）身心健康状况是否符合报考专业或者专业类别体检要求，能否保证在校正常学习、生活；</w:t>
      </w:r>
    </w:p>
    <w:p>
      <w:pPr>
        <w:pStyle w:val="14"/>
        <w:spacing w:line="299" w:lineRule="exact"/>
        <w:ind w:firstLine="420"/>
        <w:jc w:val="both"/>
        <w:rPr>
          <w:color w:val="auto"/>
        </w:rPr>
      </w:pPr>
      <w:r>
        <w:rPr>
          <w:color w:val="auto"/>
        </w:rPr>
        <w:t>（五）艺术、体育等特殊类型录取学生的专业水平是否符合录取要求。</w:t>
      </w:r>
    </w:p>
    <w:p>
      <w:pPr>
        <w:pStyle w:val="14"/>
        <w:spacing w:line="299" w:lineRule="exact"/>
        <w:ind w:firstLine="420"/>
        <w:jc w:val="both"/>
        <w:rPr>
          <w:color w:val="auto"/>
        </w:rPr>
      </w:pPr>
      <w:r>
        <w:rPr>
          <w:color w:val="auto"/>
        </w:rPr>
        <w:t>复查中发现学生存在弄虚作假、徇私舞弊等情形的，确定为复查不合格，应当取消学籍</w:t>
      </w:r>
      <w:r>
        <w:rPr>
          <w:rFonts w:hint="eastAsia"/>
          <w:color w:val="auto"/>
        </w:rPr>
        <w:t>；</w:t>
      </w:r>
      <w:r>
        <w:rPr>
          <w:color w:val="auto"/>
        </w:rPr>
        <w:t>情节严重的，学校应当移交有关部门调查处理。</w:t>
      </w:r>
    </w:p>
    <w:p>
      <w:pPr>
        <w:pStyle w:val="14"/>
        <w:spacing w:line="299" w:lineRule="exact"/>
        <w:ind w:firstLine="420"/>
        <w:jc w:val="both"/>
        <w:rPr>
          <w:color w:val="auto"/>
        </w:rPr>
      </w:pPr>
      <w:r>
        <w:rPr>
          <w:color w:val="auto"/>
        </w:rPr>
        <w:t>复查中发现学生身心状况不适宜在校学习，经学校指定的二级甲等以上医院诊断，需要在家休养的，可以按照第十条的规定保留入学资格。</w:t>
      </w:r>
    </w:p>
    <w:p>
      <w:pPr>
        <w:pStyle w:val="14"/>
        <w:spacing w:line="299" w:lineRule="exact"/>
        <w:ind w:firstLine="420"/>
        <w:jc w:val="both"/>
        <w:rPr>
          <w:color w:val="auto"/>
        </w:rPr>
      </w:pPr>
      <w:r>
        <w:rPr>
          <w:color w:val="auto"/>
        </w:rPr>
        <w:t>复查的程序和办法，由学校规定。</w:t>
      </w:r>
    </w:p>
    <w:p>
      <w:pPr>
        <w:pStyle w:val="14"/>
        <w:spacing w:line="341" w:lineRule="exact"/>
        <w:ind w:firstLine="420"/>
        <w:jc w:val="both"/>
        <w:rPr>
          <w:color w:val="auto"/>
        </w:rPr>
      </w:pPr>
      <w:r>
        <w:rPr>
          <w:b/>
          <w:bCs/>
          <w:color w:val="auto"/>
        </w:rPr>
        <w:t>第十二条</w:t>
      </w:r>
      <w:r>
        <w:rPr>
          <w:color w:val="auto"/>
        </w:rPr>
        <w:t>每学期开学时，学生应当按学校规定办理注册手续。不能如期注册的，应当履行暂缓注册手续。未按学校规定缴纳学费或者有其他不符合注册条件的，不予注册。</w:t>
      </w:r>
    </w:p>
    <w:p>
      <w:pPr>
        <w:pStyle w:val="14"/>
        <w:spacing w:line="298" w:lineRule="exact"/>
        <w:ind w:firstLine="440"/>
        <w:jc w:val="both"/>
        <w:rPr>
          <w:color w:val="auto"/>
        </w:rPr>
      </w:pPr>
      <w:r>
        <w:rPr>
          <w:color w:val="auto"/>
        </w:rPr>
        <w:t>家庭经济困难的学生可以申请助学贷款或者其他形式资助，办理有关手续后注册。</w:t>
      </w:r>
    </w:p>
    <w:p>
      <w:pPr>
        <w:pStyle w:val="14"/>
        <w:spacing w:after="220" w:line="298" w:lineRule="exact"/>
        <w:ind w:firstLine="440"/>
        <w:jc w:val="both"/>
        <w:rPr>
          <w:color w:val="auto"/>
        </w:rPr>
      </w:pPr>
      <w:r>
        <w:rPr>
          <w:color w:val="auto"/>
        </w:rPr>
        <w:t>学校应当按照国家有关规定为家庭经济困难学生提供教育救助，完善学生资助体系，保证学生不因家庭经济困难而放弃学业。</w:t>
      </w:r>
    </w:p>
    <w:p>
      <w:pPr>
        <w:pStyle w:val="22"/>
        <w:spacing w:after="160"/>
        <w:ind w:firstLine="440"/>
        <w:jc w:val="both"/>
        <w:rPr>
          <w:b/>
          <w:bCs/>
          <w:color w:val="auto"/>
        </w:rPr>
      </w:pPr>
      <w:r>
        <w:rPr>
          <w:b/>
          <w:bCs/>
          <w:color w:val="auto"/>
        </w:rPr>
        <w:t>第二节考核与成绩记载</w:t>
      </w:r>
    </w:p>
    <w:p>
      <w:pPr>
        <w:pStyle w:val="14"/>
        <w:spacing w:line="298" w:lineRule="exact"/>
        <w:ind w:firstLine="440"/>
        <w:jc w:val="both"/>
        <w:rPr>
          <w:color w:val="auto"/>
        </w:rPr>
      </w:pPr>
      <w:r>
        <w:rPr>
          <w:b/>
          <w:bCs/>
          <w:color w:val="auto"/>
        </w:rPr>
        <w:t>第十三条</w:t>
      </w:r>
      <w:r>
        <w:rPr>
          <w:color w:val="auto"/>
        </w:rPr>
        <w:t>学生应当参加学校教育教学计划规定的课程和各种教育教学环节（以下统称课程）的考核，考核成绩记入成绩册，并归入学籍档案。</w:t>
      </w:r>
    </w:p>
    <w:p>
      <w:pPr>
        <w:pStyle w:val="14"/>
        <w:spacing w:line="259" w:lineRule="exact"/>
        <w:ind w:firstLine="440"/>
        <w:jc w:val="both"/>
        <w:rPr>
          <w:color w:val="auto"/>
        </w:rPr>
      </w:pPr>
      <w:r>
        <w:rPr>
          <w:color w:val="auto"/>
        </w:rPr>
        <w:t>考核分为考试和考查两种。考核和成绩评定方式，以及考核不合格的课程是否重修或者补考，由学校规定。</w:t>
      </w:r>
    </w:p>
    <w:p>
      <w:pPr>
        <w:pStyle w:val="14"/>
        <w:spacing w:line="301" w:lineRule="exact"/>
        <w:ind w:firstLine="440"/>
        <w:jc w:val="both"/>
        <w:rPr>
          <w:color w:val="auto"/>
        </w:rPr>
      </w:pPr>
      <w:r>
        <w:rPr>
          <w:b/>
          <w:bCs/>
          <w:color w:val="auto"/>
        </w:rPr>
        <w:t>第十四条</w:t>
      </w:r>
      <w:r>
        <w:rPr>
          <w:color w:val="auto"/>
        </w:rPr>
        <w:t>学生思想品德的考核、鉴定，以本规定第四条为主要依据，采取个人小结、师生民主评议等形式进行。</w:t>
      </w:r>
    </w:p>
    <w:p>
      <w:pPr>
        <w:pStyle w:val="14"/>
        <w:spacing w:line="301" w:lineRule="exact"/>
        <w:ind w:firstLine="440"/>
        <w:jc w:val="both"/>
        <w:rPr>
          <w:color w:val="auto"/>
        </w:rPr>
      </w:pPr>
      <w:r>
        <w:rPr>
          <w:color w:val="auto"/>
        </w:rPr>
        <w:t>学生体育成绩评定要突出过程管理，可以根据考勤、课内教学、课外锻炼活动和体质健康等情况综合评定。</w:t>
      </w:r>
    </w:p>
    <w:p>
      <w:pPr>
        <w:pStyle w:val="14"/>
        <w:spacing w:line="301" w:lineRule="exact"/>
        <w:ind w:firstLine="440"/>
        <w:jc w:val="both"/>
        <w:rPr>
          <w:color w:val="auto"/>
        </w:rPr>
      </w:pPr>
      <w:r>
        <w:rPr>
          <w:b/>
          <w:bCs/>
          <w:color w:val="auto"/>
        </w:rPr>
        <w:t>第十五条</w:t>
      </w:r>
      <w:r>
        <w:rPr>
          <w:color w:val="auto"/>
        </w:rPr>
        <w:t>学生每学期或者每学年所修课程或者应修学分数以及升级、跳级、留级、降级等要求，由学校规定。</w:t>
      </w:r>
    </w:p>
    <w:p>
      <w:pPr>
        <w:pStyle w:val="14"/>
        <w:spacing w:line="301" w:lineRule="exact"/>
        <w:ind w:firstLine="440"/>
        <w:jc w:val="both"/>
        <w:rPr>
          <w:color w:val="auto"/>
        </w:rPr>
      </w:pPr>
      <w:r>
        <w:rPr>
          <w:b/>
          <w:bCs/>
          <w:color w:val="auto"/>
        </w:rPr>
        <w:t>第十六条</w:t>
      </w:r>
      <w:r>
        <w:rPr>
          <w:color w:val="auto"/>
        </w:rPr>
        <w:t>学生根据学校有关规定，可以申请辅修校内其他专业或者选修其他专业课程</w:t>
      </w:r>
      <w:r>
        <w:rPr>
          <w:rFonts w:hint="eastAsia"/>
          <w:color w:val="auto"/>
        </w:rPr>
        <w:t>；</w:t>
      </w:r>
      <w:r>
        <w:rPr>
          <w:color w:val="auto"/>
        </w:rPr>
        <w:t>可以申请跨校辅修专业或者修读课程，参加学校认可的开放式网络课程学习。学生修读的课程成绩（学分），学校审核同意后，予以承认。</w:t>
      </w:r>
    </w:p>
    <w:p>
      <w:pPr>
        <w:pStyle w:val="14"/>
        <w:spacing w:line="254" w:lineRule="exact"/>
        <w:ind w:firstLine="440"/>
        <w:jc w:val="both"/>
        <w:rPr>
          <w:color w:val="auto"/>
        </w:rPr>
      </w:pPr>
      <w:r>
        <w:rPr>
          <w:b/>
          <w:bCs/>
          <w:color w:val="auto"/>
        </w:rPr>
        <w:t>第十七条</w:t>
      </w:r>
      <w:r>
        <w:rPr>
          <w:color w:val="auto"/>
        </w:rPr>
        <w:t>学生参加创新创业、社会实践等活动以及发表论文、获得专利授权等与专业学习、学业要求相关的经历、成果，可以折算为学分，计入学业成绩。具体办法由学校规定。</w:t>
      </w:r>
    </w:p>
    <w:p>
      <w:pPr>
        <w:pStyle w:val="14"/>
        <w:spacing w:line="298" w:lineRule="exact"/>
        <w:ind w:firstLine="440"/>
        <w:jc w:val="both"/>
        <w:rPr>
          <w:color w:val="auto"/>
        </w:rPr>
      </w:pPr>
      <w:r>
        <w:rPr>
          <w:color w:val="auto"/>
        </w:rPr>
        <w:t>学校应当鼓励、支持和指导学生参加社会实践、创新创业活动，可以建立创新创业档案、设置创新创业学分。</w:t>
      </w:r>
    </w:p>
    <w:p>
      <w:pPr>
        <w:pStyle w:val="14"/>
        <w:spacing w:line="274" w:lineRule="exact"/>
        <w:ind w:firstLine="440"/>
        <w:jc w:val="both"/>
        <w:rPr>
          <w:color w:val="auto"/>
        </w:rPr>
      </w:pPr>
      <w:r>
        <w:rPr>
          <w:b/>
          <w:bCs/>
          <w:color w:val="auto"/>
        </w:rPr>
        <w:t>第十八条</w:t>
      </w:r>
      <w:r>
        <w:rPr>
          <w:color w:val="auto"/>
        </w:rPr>
        <w:t>学校应当健全学生学业成绩和学籍档案管理制度，真实、完整地记载、出具学生学业成绩，对通过补考、重修获得的成绩，应当予以标注。</w:t>
      </w:r>
    </w:p>
    <w:p>
      <w:pPr>
        <w:pStyle w:val="14"/>
        <w:spacing w:line="298" w:lineRule="exact"/>
        <w:ind w:firstLine="440"/>
        <w:jc w:val="both"/>
        <w:rPr>
          <w:color w:val="auto"/>
        </w:rPr>
      </w:pPr>
      <w:r>
        <w:rPr>
          <w:color w:val="auto"/>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pStyle w:val="14"/>
        <w:spacing w:line="298" w:lineRule="exact"/>
        <w:ind w:firstLine="440"/>
        <w:jc w:val="both"/>
        <w:rPr>
          <w:color w:val="auto"/>
        </w:rPr>
      </w:pPr>
      <w:r>
        <w:rPr>
          <w:color w:val="auto"/>
        </w:rPr>
        <w:t>学生因退学等情况中止学业，其在校学习期间所修课程及已获得学分，应当予以记录。学生重新参加入学考试、符合录取条件，再次入学的，其已获得学分，经录取学校认定，可以予以承认。具体办法由学校规定。</w:t>
      </w:r>
    </w:p>
    <w:p>
      <w:pPr>
        <w:pStyle w:val="14"/>
        <w:spacing w:line="298" w:lineRule="exact"/>
        <w:ind w:firstLine="440"/>
        <w:jc w:val="both"/>
        <w:rPr>
          <w:color w:val="auto"/>
        </w:rPr>
      </w:pPr>
      <w:r>
        <w:rPr>
          <w:b/>
          <w:bCs/>
          <w:color w:val="auto"/>
        </w:rPr>
        <w:t>第十九条</w:t>
      </w:r>
      <w:r>
        <w:rPr>
          <w:color w:val="auto"/>
        </w:rPr>
        <w:t>学生应当按时参加教育教学计划规定的活动。不能按时参加的，应当事先请假并获得批准。无故缺席的，根据学校有关规定给予批评教育，情节严重的，给予相应的纪律</w:t>
      </w:r>
      <w:r>
        <w:rPr>
          <w:color w:val="auto"/>
          <w:lang w:val="zh-CN" w:eastAsia="zh-CN" w:bidi="zh-CN"/>
        </w:rPr>
        <w:t>处分。</w:t>
      </w:r>
    </w:p>
    <w:p>
      <w:pPr>
        <w:pStyle w:val="14"/>
        <w:spacing w:after="220" w:line="298" w:lineRule="exact"/>
        <w:ind w:firstLine="440"/>
        <w:jc w:val="both"/>
        <w:rPr>
          <w:color w:val="auto"/>
        </w:rPr>
      </w:pPr>
      <w:r>
        <w:rPr>
          <w:b/>
          <w:bCs/>
          <w:color w:val="auto"/>
        </w:rPr>
        <w:t>第二十条</w:t>
      </w:r>
      <w:r>
        <w:rPr>
          <w:color w:val="auto"/>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pStyle w:val="22"/>
        <w:spacing w:after="160"/>
        <w:ind w:firstLine="440"/>
        <w:jc w:val="both"/>
        <w:rPr>
          <w:b/>
          <w:bCs/>
          <w:color w:val="auto"/>
        </w:rPr>
      </w:pPr>
      <w:r>
        <w:rPr>
          <w:b/>
          <w:bCs/>
          <w:color w:val="auto"/>
        </w:rPr>
        <w:t>第三节转专业与转学</w:t>
      </w:r>
    </w:p>
    <w:p>
      <w:pPr>
        <w:pStyle w:val="14"/>
        <w:spacing w:line="301" w:lineRule="exact"/>
        <w:ind w:firstLine="440"/>
        <w:jc w:val="both"/>
        <w:rPr>
          <w:color w:val="auto"/>
        </w:rPr>
      </w:pPr>
      <w:r>
        <w:rPr>
          <w:b/>
          <w:bCs/>
          <w:color w:val="auto"/>
        </w:rPr>
        <w:t>第二十一条</w:t>
      </w:r>
      <w:r>
        <w:rPr>
          <w:color w:val="auto"/>
        </w:rPr>
        <w:t>学生在学习期间对其他专业有兴趣和专长的，可以申请转专业；以特殊招生形式录取的学生，国家有相关规定或者录取前与学校有明确约定的，不得转专业。</w:t>
      </w:r>
    </w:p>
    <w:p>
      <w:pPr>
        <w:pStyle w:val="14"/>
        <w:spacing w:line="301" w:lineRule="exact"/>
        <w:ind w:firstLine="440"/>
        <w:jc w:val="both"/>
        <w:rPr>
          <w:color w:val="auto"/>
        </w:rPr>
      </w:pPr>
      <w:r>
        <w:rPr>
          <w:color w:val="auto"/>
        </w:rPr>
        <w:t>学校应当制定学生转专业的具体办法，建立公平、公正的标准和程序，健全公示制度。学校根据社会对人才需求情况的发展变化，需要适当调整专业的，应当允许在读学生转到其他相关专业就读。</w:t>
      </w:r>
    </w:p>
    <w:p>
      <w:pPr>
        <w:pStyle w:val="14"/>
        <w:spacing w:line="303" w:lineRule="exact"/>
        <w:ind w:firstLine="420"/>
        <w:jc w:val="both"/>
        <w:rPr>
          <w:color w:val="auto"/>
        </w:rPr>
      </w:pPr>
      <w:r>
        <w:rPr>
          <w:color w:val="auto"/>
        </w:rPr>
        <w:t>休学创业或退役后复学的学生，因自身情况需要转专业的，学校应当优先考虑。</w:t>
      </w:r>
    </w:p>
    <w:p>
      <w:pPr>
        <w:pStyle w:val="14"/>
        <w:spacing w:line="303" w:lineRule="exact"/>
        <w:ind w:firstLine="420"/>
        <w:jc w:val="both"/>
        <w:rPr>
          <w:color w:val="auto"/>
        </w:rPr>
      </w:pPr>
      <w:r>
        <w:rPr>
          <w:b/>
          <w:bCs/>
          <w:color w:val="auto"/>
        </w:rPr>
        <w:t>第二十二条</w:t>
      </w:r>
      <w:r>
        <w:rPr>
          <w:color w:val="auto"/>
        </w:rPr>
        <w:t>学生一般应当在被录取学校完成学业。因患病或者有特殊困难、特别需要，无法继续在本校学习或者不适应本校学习要求的，可以申请转学。有下列情形之一，不得转学：</w:t>
      </w:r>
    </w:p>
    <w:p>
      <w:pPr>
        <w:pStyle w:val="14"/>
        <w:spacing w:line="303" w:lineRule="exact"/>
        <w:ind w:firstLine="420"/>
        <w:jc w:val="both"/>
        <w:rPr>
          <w:color w:val="auto"/>
        </w:rPr>
      </w:pPr>
      <w:r>
        <w:rPr>
          <w:color w:val="auto"/>
        </w:rPr>
        <w:t>（</w:t>
      </w:r>
      <w:r>
        <w:rPr>
          <w:rFonts w:hint="eastAsia"/>
          <w:color w:val="auto"/>
        </w:rPr>
        <w:t>一</w:t>
      </w:r>
      <w:r>
        <w:rPr>
          <w:color w:val="auto"/>
        </w:rPr>
        <w:t>）入学未满</w:t>
      </w:r>
      <w:r>
        <w:rPr>
          <w:color w:val="auto"/>
          <w:lang w:val="zh-CN" w:eastAsia="zh-CN" w:bidi="zh-CN"/>
        </w:rPr>
        <w:t>一学期</w:t>
      </w:r>
      <w:r>
        <w:rPr>
          <w:color w:val="auto"/>
        </w:rPr>
        <w:t>或者毕业前一年的；</w:t>
      </w:r>
    </w:p>
    <w:p>
      <w:pPr>
        <w:pStyle w:val="14"/>
        <w:spacing w:line="303" w:lineRule="exact"/>
        <w:ind w:firstLine="420"/>
        <w:jc w:val="both"/>
        <w:rPr>
          <w:color w:val="auto"/>
        </w:rPr>
      </w:pPr>
      <w:r>
        <w:rPr>
          <w:color w:val="auto"/>
        </w:rPr>
        <w:t>（二）高考成绩低于拟转入学校相关专业同</w:t>
      </w:r>
      <w:r>
        <w:rPr>
          <w:rFonts w:hint="eastAsia" w:asciiTheme="minorEastAsia" w:hAnsiTheme="minorEastAsia" w:eastAsiaTheme="minorEastAsia"/>
          <w:color w:val="auto"/>
        </w:rPr>
        <w:t>一</w:t>
      </w:r>
      <w:r>
        <w:rPr>
          <w:color w:val="auto"/>
        </w:rPr>
        <w:t>生源地相应年份录取成绩的；</w:t>
      </w:r>
    </w:p>
    <w:p>
      <w:pPr>
        <w:pStyle w:val="14"/>
        <w:spacing w:line="303" w:lineRule="exact"/>
        <w:ind w:firstLine="420"/>
        <w:jc w:val="both"/>
        <w:rPr>
          <w:color w:val="auto"/>
        </w:rPr>
      </w:pPr>
      <w:r>
        <w:rPr>
          <w:color w:val="auto"/>
        </w:rPr>
        <w:t>（三）由低学历层次转为高学历层次的；</w:t>
      </w:r>
    </w:p>
    <w:p>
      <w:pPr>
        <w:pStyle w:val="14"/>
        <w:spacing w:line="303" w:lineRule="exact"/>
        <w:ind w:firstLine="420"/>
        <w:jc w:val="both"/>
        <w:rPr>
          <w:color w:val="auto"/>
        </w:rPr>
      </w:pPr>
      <w:r>
        <w:rPr>
          <w:color w:val="auto"/>
        </w:rPr>
        <w:t>（四）以定向就业招生录取的；</w:t>
      </w:r>
    </w:p>
    <w:p>
      <w:pPr>
        <w:pStyle w:val="14"/>
        <w:spacing w:line="303" w:lineRule="exact"/>
        <w:ind w:firstLine="420"/>
        <w:jc w:val="both"/>
        <w:rPr>
          <w:color w:val="auto"/>
        </w:rPr>
      </w:pPr>
      <w:r>
        <w:rPr>
          <w:color w:val="auto"/>
        </w:rPr>
        <w:t>（五）研究生拟转入学校、专业的录取控制标准高于其所在学校、专业的；</w:t>
      </w:r>
    </w:p>
    <w:p>
      <w:pPr>
        <w:pStyle w:val="14"/>
        <w:spacing w:line="303" w:lineRule="exact"/>
        <w:ind w:firstLine="420"/>
        <w:jc w:val="both"/>
        <w:rPr>
          <w:color w:val="auto"/>
        </w:rPr>
      </w:pPr>
      <w:r>
        <w:rPr>
          <w:color w:val="auto"/>
        </w:rPr>
        <w:t>（六）无正当转学理由的。</w:t>
      </w:r>
    </w:p>
    <w:p>
      <w:pPr>
        <w:pStyle w:val="14"/>
        <w:spacing w:line="303" w:lineRule="exact"/>
        <w:ind w:firstLine="420"/>
        <w:jc w:val="both"/>
        <w:rPr>
          <w:color w:val="auto"/>
        </w:rPr>
      </w:pPr>
      <w:r>
        <w:rPr>
          <w:color w:val="auto"/>
        </w:rPr>
        <w:t>学生因学校培养条件改变等非本人原因需要转学的，学校应当出具证明，由所在地省级教育行政部门协调转学到同层次学校。</w:t>
      </w:r>
    </w:p>
    <w:p>
      <w:pPr>
        <w:pStyle w:val="14"/>
        <w:spacing w:line="303" w:lineRule="exact"/>
        <w:ind w:firstLine="420"/>
        <w:jc w:val="both"/>
        <w:rPr>
          <w:color w:val="auto"/>
        </w:rPr>
      </w:pPr>
      <w:r>
        <w:rPr>
          <w:b/>
          <w:bCs/>
          <w:color w:val="auto"/>
        </w:rPr>
        <w:t>第二十三条</w:t>
      </w:r>
      <w:r>
        <w:rPr>
          <w:color w:val="auto"/>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pStyle w:val="14"/>
        <w:spacing w:line="303" w:lineRule="exact"/>
        <w:ind w:firstLine="420"/>
        <w:jc w:val="both"/>
        <w:rPr>
          <w:color w:val="auto"/>
        </w:rPr>
      </w:pPr>
      <w:r>
        <w:rPr>
          <w:color w:val="auto"/>
        </w:rPr>
        <w:t>跨省转学的</w:t>
      </w:r>
      <w:r>
        <w:rPr>
          <w:rFonts w:hint="eastAsia"/>
          <w:color w:val="auto"/>
        </w:rPr>
        <w:t>，</w:t>
      </w:r>
      <w:r>
        <w:rPr>
          <w:color w:val="auto"/>
        </w:rPr>
        <w:t>由转出地省级教育行政部门商转入地省级教育行政部门，按转学条件确认后办理转学手续。须转户口的由转入地省级教育行政部门将有关文件抄送转入学校所在地的公安机关。</w:t>
      </w:r>
    </w:p>
    <w:p>
      <w:pPr>
        <w:pStyle w:val="14"/>
        <w:spacing w:after="200" w:line="303" w:lineRule="exact"/>
        <w:ind w:firstLine="420"/>
        <w:jc w:val="both"/>
        <w:rPr>
          <w:color w:val="auto"/>
        </w:rPr>
      </w:pPr>
      <w:r>
        <w:rPr>
          <w:b/>
          <w:bCs/>
          <w:color w:val="auto"/>
        </w:rPr>
        <w:t>第二十四条</w:t>
      </w:r>
      <w:r>
        <w:rPr>
          <w:color w:val="auto"/>
        </w:rPr>
        <w:t>学校应当按照国家有关规定，建立健全学生转学的具体办法</w:t>
      </w:r>
      <w:r>
        <w:rPr>
          <w:rFonts w:hint="eastAsia"/>
          <w:color w:val="auto"/>
        </w:rPr>
        <w:t>。</w:t>
      </w:r>
      <w:r>
        <w:rPr>
          <w:color w:val="auto"/>
        </w:rPr>
        <w:t>对转学情况应当及时进行公示，并在转学完成后</w:t>
      </w:r>
      <w:r>
        <w:rPr>
          <w:rFonts w:ascii="Times New Roman" w:hAnsi="Times New Roman" w:eastAsia="Times New Roman" w:cs="Times New Roman"/>
          <w:color w:val="auto"/>
          <w:sz w:val="20"/>
          <w:szCs w:val="20"/>
        </w:rPr>
        <w:t>3</w:t>
      </w:r>
      <w:r>
        <w:rPr>
          <w:color w:val="auto"/>
        </w:rPr>
        <w:t>个月内，由转入学校报所在地省级教育行政部门备案。省级教育行政部门应当加强对区域内学校转学行为的监督和管理，及时纠正违规转学行为。</w:t>
      </w:r>
    </w:p>
    <w:p>
      <w:pPr>
        <w:pStyle w:val="22"/>
        <w:spacing w:after="200"/>
        <w:ind w:firstLine="420"/>
        <w:jc w:val="both"/>
        <w:rPr>
          <w:b/>
          <w:bCs/>
          <w:color w:val="auto"/>
        </w:rPr>
      </w:pPr>
      <w:r>
        <w:rPr>
          <w:b/>
          <w:bCs/>
          <w:color w:val="auto"/>
        </w:rPr>
        <w:t>第四节休学与复学</w:t>
      </w:r>
    </w:p>
    <w:p>
      <w:pPr>
        <w:pStyle w:val="14"/>
        <w:spacing w:line="264" w:lineRule="exact"/>
        <w:ind w:firstLine="420"/>
        <w:jc w:val="both"/>
        <w:rPr>
          <w:color w:val="auto"/>
        </w:rPr>
      </w:pPr>
      <w:r>
        <w:rPr>
          <w:b/>
          <w:bCs/>
          <w:color w:val="auto"/>
        </w:rPr>
        <w:t>第二十五条</w:t>
      </w:r>
      <w:r>
        <w:rPr>
          <w:color w:val="auto"/>
        </w:rPr>
        <w:t>学生可以分阶段完成学业，除另有规定外，应当在学校规定的最长学习年限（含休学和保留学籍）内完成学业。</w:t>
      </w:r>
    </w:p>
    <w:p>
      <w:pPr>
        <w:pStyle w:val="14"/>
        <w:spacing w:line="302" w:lineRule="exact"/>
        <w:ind w:firstLine="420"/>
        <w:jc w:val="both"/>
        <w:rPr>
          <w:color w:val="auto"/>
        </w:rPr>
      </w:pPr>
      <w:r>
        <w:rPr>
          <w:color w:val="auto"/>
        </w:rPr>
        <w:t>学生申请休学或者学校认为应当休学的</w:t>
      </w:r>
      <w:r>
        <w:rPr>
          <w:rFonts w:hint="eastAsia"/>
          <w:color w:val="auto"/>
        </w:rPr>
        <w:t>，</w:t>
      </w:r>
      <w:r>
        <w:rPr>
          <w:color w:val="auto"/>
        </w:rPr>
        <w:t>经学校批准，可以休学。休学次数和期限由学校规定。</w:t>
      </w:r>
    </w:p>
    <w:p>
      <w:pPr>
        <w:pStyle w:val="14"/>
        <w:spacing w:line="310" w:lineRule="exact"/>
        <w:ind w:firstLine="420"/>
        <w:jc w:val="both"/>
        <w:rPr>
          <w:color w:val="auto"/>
        </w:rPr>
      </w:pPr>
      <w:r>
        <w:rPr>
          <w:b/>
          <w:bCs/>
          <w:color w:val="auto"/>
        </w:rPr>
        <w:t>第二十六条</w:t>
      </w:r>
      <w:r>
        <w:rPr>
          <w:color w:val="auto"/>
        </w:rPr>
        <w:t>学校可以根据情况建立并实行灵活的学习制度。对休学创业的学生，可以单独规定最长学习年限，并简化休学批准程序。</w:t>
      </w:r>
    </w:p>
    <w:p>
      <w:pPr>
        <w:pStyle w:val="14"/>
        <w:spacing w:line="310" w:lineRule="exact"/>
        <w:ind w:firstLine="420"/>
        <w:jc w:val="both"/>
        <w:rPr>
          <w:color w:val="auto"/>
        </w:rPr>
      </w:pPr>
      <w:r>
        <w:rPr>
          <w:b/>
          <w:bCs/>
          <w:color w:val="auto"/>
        </w:rPr>
        <w:t>第二十七条</w:t>
      </w:r>
      <w:r>
        <w:rPr>
          <w:color w:val="auto"/>
        </w:rPr>
        <w:t>新生和在校学生应征参加中国人民解放军（含中国人民武装警察部队），学校应当保留其入学资格或者学籍至退役后</w:t>
      </w:r>
      <w:r>
        <w:rPr>
          <w:rFonts w:ascii="Times New Roman" w:hAnsi="Times New Roman" w:eastAsia="Times New Roman" w:cs="Times New Roman"/>
          <w:color w:val="auto"/>
          <w:sz w:val="20"/>
          <w:szCs w:val="20"/>
        </w:rPr>
        <w:t>2</w:t>
      </w:r>
      <w:r>
        <w:rPr>
          <w:color w:val="auto"/>
        </w:rPr>
        <w:t>年。</w:t>
      </w:r>
    </w:p>
    <w:p>
      <w:pPr>
        <w:pStyle w:val="14"/>
        <w:spacing w:line="310" w:lineRule="exact"/>
        <w:ind w:firstLine="420"/>
        <w:jc w:val="both"/>
        <w:rPr>
          <w:color w:val="auto"/>
        </w:rPr>
      </w:pPr>
      <w:r>
        <w:rPr>
          <w:color w:val="auto"/>
        </w:rPr>
        <w:t>学生参加学校组织的跨校联合培养项目，在联合培养学校学习期间，学校同时为其保留学籍。</w:t>
      </w:r>
    </w:p>
    <w:p>
      <w:pPr>
        <w:pStyle w:val="14"/>
        <w:spacing w:line="310" w:lineRule="exact"/>
        <w:ind w:firstLine="420"/>
        <w:jc w:val="both"/>
        <w:rPr>
          <w:color w:val="auto"/>
        </w:rPr>
      </w:pPr>
      <w:r>
        <w:rPr>
          <w:color w:val="auto"/>
        </w:rPr>
        <w:t>学生保留学籍期间，与其实际所在的部队、学校等组织建立管理关系。</w:t>
      </w:r>
    </w:p>
    <w:p>
      <w:pPr>
        <w:pStyle w:val="14"/>
        <w:spacing w:line="278" w:lineRule="exact"/>
        <w:ind w:firstLine="420"/>
        <w:jc w:val="both"/>
        <w:rPr>
          <w:color w:val="auto"/>
        </w:rPr>
      </w:pPr>
      <w:r>
        <w:rPr>
          <w:b/>
          <w:bCs/>
          <w:color w:val="auto"/>
        </w:rPr>
        <w:t>第二十八条</w:t>
      </w:r>
      <w:r>
        <w:rPr>
          <w:color w:val="auto"/>
        </w:rPr>
        <w:t>休学学生应当办理手续离校。学生休学期间，学校应为其保留学籍，但不享受在校学习学生待遇。因病休学学生的医疗费按国家及当地的有关规定处理。</w:t>
      </w:r>
    </w:p>
    <w:p>
      <w:pPr>
        <w:pStyle w:val="14"/>
        <w:spacing w:after="200" w:line="307" w:lineRule="exact"/>
        <w:ind w:firstLine="420"/>
        <w:jc w:val="both"/>
        <w:rPr>
          <w:color w:val="auto"/>
        </w:rPr>
      </w:pPr>
      <w:r>
        <w:rPr>
          <w:b/>
          <w:bCs/>
          <w:color w:val="auto"/>
        </w:rPr>
        <w:t>第二十九条</w:t>
      </w:r>
      <w:r>
        <w:rPr>
          <w:color w:val="auto"/>
        </w:rPr>
        <w:t>学生休学期满前应当在学校规定的期限内提出复学申请，经学校复查合格，方可复学。</w:t>
      </w:r>
    </w:p>
    <w:p>
      <w:pPr>
        <w:pStyle w:val="22"/>
        <w:spacing w:after="120"/>
        <w:ind w:firstLine="420"/>
        <w:jc w:val="both"/>
        <w:rPr>
          <w:b/>
          <w:bCs/>
          <w:color w:val="auto"/>
        </w:rPr>
      </w:pPr>
      <w:r>
        <w:rPr>
          <w:b/>
          <w:bCs/>
          <w:color w:val="auto"/>
        </w:rPr>
        <w:t>第五节退学</w:t>
      </w:r>
    </w:p>
    <w:p>
      <w:pPr>
        <w:pStyle w:val="14"/>
        <w:spacing w:line="303" w:lineRule="exact"/>
        <w:ind w:firstLine="420"/>
        <w:jc w:val="both"/>
        <w:rPr>
          <w:color w:val="auto"/>
        </w:rPr>
      </w:pPr>
      <w:r>
        <w:rPr>
          <w:b/>
          <w:bCs/>
          <w:color w:val="auto"/>
        </w:rPr>
        <w:t>第三十条</w:t>
      </w:r>
      <w:r>
        <w:rPr>
          <w:color w:val="auto"/>
        </w:rPr>
        <w:t>学生有下列情形之一，学校可予退学处理：</w:t>
      </w:r>
    </w:p>
    <w:p>
      <w:pPr>
        <w:pStyle w:val="14"/>
        <w:spacing w:line="303" w:lineRule="exact"/>
        <w:ind w:firstLine="420"/>
        <w:jc w:val="both"/>
        <w:rPr>
          <w:color w:val="auto"/>
        </w:rPr>
      </w:pPr>
      <w:r>
        <w:rPr>
          <w:color w:val="auto"/>
        </w:rPr>
        <w:t>（</w:t>
      </w:r>
      <w:r>
        <w:rPr>
          <w:rFonts w:hint="eastAsia"/>
          <w:color w:val="auto"/>
        </w:rPr>
        <w:t>一</w:t>
      </w:r>
      <w:r>
        <w:rPr>
          <w:color w:val="auto"/>
        </w:rPr>
        <w:t>）学业成绩未达到学校要求或者在学校规定的学习年限内未完成学业的；</w:t>
      </w:r>
    </w:p>
    <w:p>
      <w:pPr>
        <w:pStyle w:val="14"/>
        <w:spacing w:line="305" w:lineRule="exact"/>
        <w:ind w:firstLine="420"/>
        <w:jc w:val="both"/>
        <w:rPr>
          <w:color w:val="auto"/>
        </w:rPr>
      </w:pPr>
      <w:r>
        <w:rPr>
          <w:color w:val="auto"/>
        </w:rPr>
        <w:t>（二）休学、保留学籍期满，在学校规定期限内未提出复学申请或者申请复学经复查不合格的；</w:t>
      </w:r>
    </w:p>
    <w:p>
      <w:pPr>
        <w:pStyle w:val="14"/>
        <w:spacing w:line="305" w:lineRule="exact"/>
        <w:ind w:firstLine="420"/>
        <w:jc w:val="both"/>
        <w:rPr>
          <w:color w:val="auto"/>
        </w:rPr>
      </w:pPr>
      <w:r>
        <w:rPr>
          <w:color w:val="auto"/>
        </w:rPr>
        <w:t>（三）根据学校指定医院诊断，患有疾病或者意外伤残不能继续在校学习的；</w:t>
      </w:r>
    </w:p>
    <w:p>
      <w:pPr>
        <w:pStyle w:val="14"/>
        <w:spacing w:line="305" w:lineRule="exact"/>
        <w:ind w:firstLine="420"/>
        <w:jc w:val="both"/>
        <w:rPr>
          <w:color w:val="auto"/>
        </w:rPr>
      </w:pPr>
      <w:r>
        <w:rPr>
          <w:color w:val="auto"/>
        </w:rPr>
        <w:t>（四）未经批准连续两周未参加学校规定的教学活动的；</w:t>
      </w:r>
    </w:p>
    <w:p>
      <w:pPr>
        <w:pStyle w:val="14"/>
        <w:spacing w:line="305" w:lineRule="exact"/>
        <w:ind w:firstLine="420"/>
        <w:jc w:val="both"/>
        <w:rPr>
          <w:color w:val="auto"/>
        </w:rPr>
      </w:pPr>
      <w:r>
        <w:rPr>
          <w:color w:val="auto"/>
        </w:rPr>
        <w:t>（五）超过学校规定期限未注册而又未履行暂缓注册手续的；</w:t>
      </w:r>
    </w:p>
    <w:p>
      <w:pPr>
        <w:pStyle w:val="14"/>
        <w:spacing w:line="305" w:lineRule="exact"/>
        <w:ind w:firstLine="420"/>
        <w:jc w:val="both"/>
        <w:rPr>
          <w:color w:val="auto"/>
        </w:rPr>
      </w:pPr>
      <w:r>
        <w:rPr>
          <w:color w:val="auto"/>
        </w:rPr>
        <w:t>（六）学校规定的不能完成学业、应予退学的其他情形。</w:t>
      </w:r>
    </w:p>
    <w:p>
      <w:pPr>
        <w:pStyle w:val="14"/>
        <w:spacing w:line="305" w:lineRule="exact"/>
        <w:ind w:firstLine="420"/>
        <w:jc w:val="both"/>
        <w:rPr>
          <w:color w:val="auto"/>
        </w:rPr>
      </w:pPr>
      <w:r>
        <w:rPr>
          <w:color w:val="auto"/>
        </w:rPr>
        <w:t>学生本人申请退学的，经学校审核同意后，办理退学手续。</w:t>
      </w:r>
    </w:p>
    <w:p>
      <w:pPr>
        <w:pStyle w:val="14"/>
        <w:spacing w:line="305" w:lineRule="exact"/>
        <w:ind w:firstLine="420"/>
        <w:jc w:val="both"/>
        <w:rPr>
          <w:color w:val="auto"/>
        </w:rPr>
      </w:pPr>
      <w:r>
        <w:rPr>
          <w:b/>
          <w:bCs/>
          <w:color w:val="auto"/>
        </w:rPr>
        <w:t>第三十一条</w:t>
      </w:r>
      <w:r>
        <w:rPr>
          <w:color w:val="auto"/>
        </w:rPr>
        <w:t>退学学生，应当按学校规定期限办理退学手续离校。退学的研究生，按已有毕业学历和就业政策可以就业的，由学校报所在地省级毕业生就业部门办理相关手续</w:t>
      </w:r>
      <w:r>
        <w:rPr>
          <w:rFonts w:hint="eastAsia"/>
          <w:color w:val="auto"/>
        </w:rPr>
        <w:t>；</w:t>
      </w:r>
      <w:r>
        <w:rPr>
          <w:color w:val="auto"/>
        </w:rPr>
        <w:t>在学校规定期限内没有聘用单位的，应当办理退学手续离校。</w:t>
      </w:r>
    </w:p>
    <w:p>
      <w:pPr>
        <w:pStyle w:val="14"/>
        <w:spacing w:after="240" w:line="305" w:lineRule="exact"/>
        <w:ind w:firstLine="420"/>
        <w:jc w:val="both"/>
        <w:rPr>
          <w:color w:val="auto"/>
        </w:rPr>
      </w:pPr>
      <w:r>
        <w:rPr>
          <w:color w:val="auto"/>
        </w:rPr>
        <w:t>退学学生的档案由学校退回其家庭所在地，户口应当按照国家相关规定迁回原户籍地或者家庭户籍所在地。</w:t>
      </w:r>
    </w:p>
    <w:p>
      <w:pPr>
        <w:pStyle w:val="22"/>
        <w:spacing w:after="120"/>
        <w:ind w:firstLine="420"/>
        <w:jc w:val="both"/>
        <w:rPr>
          <w:b/>
          <w:bCs/>
          <w:color w:val="auto"/>
        </w:rPr>
      </w:pPr>
      <w:r>
        <w:rPr>
          <w:b/>
          <w:bCs/>
          <w:color w:val="auto"/>
        </w:rPr>
        <w:t>第六节毕业与结业</w:t>
      </w:r>
    </w:p>
    <w:p>
      <w:pPr>
        <w:pStyle w:val="14"/>
        <w:spacing w:line="305" w:lineRule="exact"/>
        <w:ind w:firstLine="420"/>
        <w:jc w:val="both"/>
        <w:rPr>
          <w:color w:val="auto"/>
        </w:rPr>
      </w:pPr>
      <w:r>
        <w:rPr>
          <w:b/>
          <w:bCs/>
          <w:color w:val="auto"/>
        </w:rPr>
        <w:t>第三十二条</w:t>
      </w:r>
      <w:r>
        <w:rPr>
          <w:color w:val="auto"/>
        </w:rPr>
        <w:t>学生在学校规定学习年限内，修完教育教学计划规定内容，成绩合格，达到学校毕业要求的，学校应当准予毕业，并在学生离校前发给毕业证书。</w:t>
      </w:r>
    </w:p>
    <w:p>
      <w:pPr>
        <w:pStyle w:val="14"/>
        <w:spacing w:line="305" w:lineRule="exact"/>
        <w:ind w:firstLine="420"/>
        <w:jc w:val="both"/>
        <w:rPr>
          <w:color w:val="auto"/>
        </w:rPr>
      </w:pPr>
      <w:r>
        <w:rPr>
          <w:color w:val="auto"/>
        </w:rPr>
        <w:t>符合学位授予条件的，学位授予单位应当颁发学位证书。</w:t>
      </w:r>
    </w:p>
    <w:p>
      <w:pPr>
        <w:pStyle w:val="14"/>
        <w:spacing w:line="305" w:lineRule="exact"/>
        <w:ind w:firstLine="420"/>
        <w:jc w:val="both"/>
        <w:rPr>
          <w:color w:val="auto"/>
        </w:rPr>
      </w:pPr>
      <w:r>
        <w:rPr>
          <w:color w:val="auto"/>
        </w:rPr>
        <w:t>学生提前完成教育教学计划规定内容，获得毕业所要求的学分，可以申请提前毕业。学生提前毕业的条件，由学校规定。</w:t>
      </w:r>
    </w:p>
    <w:p>
      <w:pPr>
        <w:pStyle w:val="14"/>
        <w:spacing w:line="305" w:lineRule="exact"/>
        <w:ind w:firstLine="420"/>
        <w:jc w:val="both"/>
        <w:rPr>
          <w:color w:val="auto"/>
        </w:rPr>
      </w:pPr>
      <w:r>
        <w:rPr>
          <w:b/>
          <w:bCs/>
          <w:color w:val="auto"/>
        </w:rPr>
        <w:t>第三十三条</w:t>
      </w:r>
      <w:r>
        <w:rPr>
          <w:color w:val="auto"/>
        </w:rPr>
        <w:t>学生在学校规定学习年限内，修完教育教学计划规定内容，但未达到学校毕业要求的，学校可以准予结业，发给结业证书。</w:t>
      </w:r>
    </w:p>
    <w:p>
      <w:pPr>
        <w:pStyle w:val="14"/>
        <w:spacing w:line="305" w:lineRule="exact"/>
        <w:ind w:firstLine="420"/>
        <w:jc w:val="both"/>
        <w:rPr>
          <w:color w:val="auto"/>
        </w:rPr>
      </w:pPr>
      <w:r>
        <w:rPr>
          <w:color w:val="auto"/>
        </w:rPr>
        <w:t>结业后是否可以补考、重修或者补作毕业设计、论文、答辩，以及是否颁发毕业证书、学位证书，由学校规定。合格后颁发的毕业证书、学位证书，毕业时间、获得学位时间按发证日期填写。</w:t>
      </w:r>
    </w:p>
    <w:p>
      <w:pPr>
        <w:pStyle w:val="14"/>
        <w:spacing w:after="240" w:line="305" w:lineRule="exact"/>
        <w:ind w:firstLine="420"/>
        <w:jc w:val="both"/>
        <w:rPr>
          <w:color w:val="auto"/>
        </w:rPr>
      </w:pPr>
      <w:r>
        <w:rPr>
          <w:color w:val="auto"/>
        </w:rPr>
        <w:t>对退学学生，学校应当发给肄业证书或者写实性学习证明。</w:t>
      </w:r>
    </w:p>
    <w:p>
      <w:pPr>
        <w:pStyle w:val="22"/>
        <w:spacing w:after="120"/>
        <w:ind w:firstLine="420"/>
        <w:jc w:val="both"/>
        <w:rPr>
          <w:b/>
          <w:bCs/>
          <w:color w:val="auto"/>
        </w:rPr>
      </w:pPr>
      <w:r>
        <w:rPr>
          <w:b/>
          <w:bCs/>
          <w:color w:val="auto"/>
        </w:rPr>
        <w:t>第七节学业证书管理</w:t>
      </w:r>
    </w:p>
    <w:p>
      <w:pPr>
        <w:pStyle w:val="14"/>
        <w:spacing w:line="306" w:lineRule="exact"/>
        <w:ind w:firstLine="420"/>
        <w:jc w:val="both"/>
        <w:rPr>
          <w:color w:val="auto"/>
        </w:rPr>
      </w:pPr>
      <w:r>
        <w:rPr>
          <w:b/>
          <w:bCs/>
          <w:color w:val="auto"/>
        </w:rPr>
        <w:t>第三十四条</w:t>
      </w:r>
      <w:r>
        <w:rPr>
          <w:color w:val="auto"/>
        </w:rPr>
        <w:t>学校应当严格按照招生时确定的办学类型和学习形式，以及学生招生录取时填报的个人信息，填写、颁发学历证书、学位证书及其他学业证书。</w:t>
      </w:r>
    </w:p>
    <w:p>
      <w:pPr>
        <w:pStyle w:val="14"/>
        <w:spacing w:line="306" w:lineRule="exact"/>
        <w:ind w:firstLine="420"/>
        <w:jc w:val="both"/>
        <w:rPr>
          <w:color w:val="auto"/>
        </w:rPr>
      </w:pPr>
      <w:r>
        <w:rPr>
          <w:color w:val="auto"/>
        </w:rPr>
        <w:t>学生在校期间变更姓名、出生日期等证书需填写的个人信息的，应当有合理、充分的理由，并提供有法定效力的相应证明文件。学校进行审查，需要学生生源地省级教育行政部门及有关部门协助核査的，有关部门应当予以配合。</w:t>
      </w:r>
    </w:p>
    <w:p>
      <w:pPr>
        <w:pStyle w:val="14"/>
        <w:spacing w:line="306" w:lineRule="exact"/>
        <w:ind w:firstLine="420"/>
        <w:jc w:val="both"/>
        <w:rPr>
          <w:color w:val="auto"/>
        </w:rPr>
      </w:pPr>
      <w:r>
        <w:rPr>
          <w:b/>
          <w:bCs/>
          <w:color w:val="auto"/>
        </w:rPr>
        <w:t>第三十五条</w:t>
      </w:r>
      <w:r>
        <w:rPr>
          <w:color w:val="auto"/>
        </w:rPr>
        <w:t>学校应当执行高等教育学籍学历电子注册管理制度，完善学籍学历信息管理办法，按相关规定及时完成学生学籍学历电子注册。</w:t>
      </w:r>
    </w:p>
    <w:p>
      <w:pPr>
        <w:pStyle w:val="14"/>
        <w:spacing w:line="306" w:lineRule="exact"/>
        <w:ind w:firstLine="420"/>
        <w:jc w:val="both"/>
        <w:rPr>
          <w:color w:val="auto"/>
        </w:rPr>
      </w:pPr>
      <w:r>
        <w:rPr>
          <w:b/>
          <w:bCs/>
          <w:color w:val="auto"/>
        </w:rPr>
        <w:t>第三十六条</w:t>
      </w:r>
      <w:r>
        <w:rPr>
          <w:color w:val="auto"/>
        </w:rPr>
        <w:t>对完成本专业学业同时辅修其他专业并达到该专业辅修要求的学生，由学校发给辅修专业证书。</w:t>
      </w:r>
    </w:p>
    <w:p>
      <w:pPr>
        <w:pStyle w:val="14"/>
        <w:spacing w:line="302" w:lineRule="exact"/>
        <w:ind w:firstLine="420"/>
        <w:jc w:val="both"/>
        <w:rPr>
          <w:color w:val="auto"/>
        </w:rPr>
      </w:pPr>
      <w:r>
        <w:rPr>
          <w:b/>
          <w:bCs/>
          <w:color w:val="auto"/>
        </w:rPr>
        <w:t>第三十七条</w:t>
      </w:r>
      <w:r>
        <w:rPr>
          <w:color w:val="auto"/>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pStyle w:val="14"/>
        <w:spacing w:after="120" w:line="302" w:lineRule="exact"/>
        <w:ind w:firstLine="420"/>
        <w:jc w:val="both"/>
        <w:rPr>
          <w:rFonts w:eastAsia="PMingLiU"/>
          <w:color w:val="auto"/>
        </w:rPr>
      </w:pPr>
      <w:r>
        <w:rPr>
          <w:color w:val="auto"/>
        </w:rPr>
        <w:t>被撤销的学历证书、学位证书已注册的，学校应当予以注销并报教育行政部门宣布无效。</w:t>
      </w:r>
    </w:p>
    <w:p>
      <w:pPr>
        <w:pStyle w:val="14"/>
        <w:spacing w:after="120" w:line="302" w:lineRule="exact"/>
        <w:ind w:firstLine="420"/>
        <w:jc w:val="both"/>
        <w:rPr>
          <w:rFonts w:eastAsia="PMingLiU"/>
          <w:color w:val="auto"/>
        </w:rPr>
      </w:pPr>
      <w:r>
        <w:rPr>
          <w:b/>
          <w:bCs/>
          <w:color w:val="auto"/>
        </w:rPr>
        <w:t>第三十八条</w:t>
      </w:r>
      <w:r>
        <w:rPr>
          <w:color w:val="auto"/>
        </w:rPr>
        <w:t>学历证书和学位证书遗失或者损坏，经本人申请，学校核实后应当出具相应的证明书。证明书与原证书具有同等效力。</w:t>
      </w:r>
    </w:p>
    <w:p>
      <w:pPr>
        <w:pStyle w:val="18"/>
        <w:keepNext/>
        <w:keepLines/>
        <w:spacing w:after="320"/>
        <w:rPr>
          <w:b/>
          <w:bCs/>
          <w:color w:val="auto"/>
        </w:rPr>
      </w:pPr>
      <w:bookmarkStart w:id="708" w:name="bookmark1144"/>
      <w:bookmarkStart w:id="709" w:name="bookmark1143"/>
      <w:bookmarkStart w:id="710" w:name="bookmark1145"/>
      <w:r>
        <w:rPr>
          <w:color w:val="auto"/>
        </w:rPr>
        <w:t>第</w:t>
      </w:r>
      <w:r>
        <w:rPr>
          <w:b/>
          <w:bCs/>
          <w:color w:val="auto"/>
        </w:rPr>
        <w:t>四章校园秩序与课外活动</w:t>
      </w:r>
      <w:bookmarkEnd w:id="708"/>
      <w:bookmarkEnd w:id="709"/>
      <w:bookmarkEnd w:id="710"/>
    </w:p>
    <w:p>
      <w:pPr>
        <w:pStyle w:val="14"/>
        <w:spacing w:line="302" w:lineRule="exact"/>
        <w:ind w:firstLine="420"/>
        <w:jc w:val="both"/>
        <w:rPr>
          <w:color w:val="auto"/>
        </w:rPr>
      </w:pPr>
      <w:r>
        <w:rPr>
          <w:b/>
          <w:bCs/>
          <w:color w:val="auto"/>
        </w:rPr>
        <w:t>第三十九条</w:t>
      </w:r>
      <w:r>
        <w:rPr>
          <w:color w:val="auto"/>
        </w:rPr>
        <w:t>学校、学生应当共同维护校园正常秩序，保障学校环境安全、稳定，保障学生的正常学习和生活。</w:t>
      </w:r>
    </w:p>
    <w:p>
      <w:pPr>
        <w:pStyle w:val="14"/>
        <w:spacing w:line="302" w:lineRule="exact"/>
        <w:ind w:firstLine="420"/>
        <w:jc w:val="both"/>
        <w:rPr>
          <w:color w:val="auto"/>
        </w:rPr>
      </w:pPr>
      <w:r>
        <w:rPr>
          <w:b/>
          <w:bCs/>
          <w:color w:val="auto"/>
        </w:rPr>
        <w:t>第四十条</w:t>
      </w:r>
      <w:r>
        <w:rPr>
          <w:color w:val="auto"/>
        </w:rPr>
        <w:t>学校应当建立和完善学生参与管理的组织形式，支持和保障学生依法、依章程参与学校管理。</w:t>
      </w:r>
    </w:p>
    <w:p>
      <w:pPr>
        <w:pStyle w:val="14"/>
        <w:spacing w:line="314" w:lineRule="exact"/>
        <w:ind w:firstLine="420"/>
        <w:jc w:val="both"/>
        <w:rPr>
          <w:color w:val="auto"/>
        </w:rPr>
      </w:pPr>
      <w:r>
        <w:rPr>
          <w:b/>
          <w:bCs/>
          <w:color w:val="auto"/>
        </w:rPr>
        <w:t>第四十一条</w:t>
      </w:r>
      <w:r>
        <w:rPr>
          <w:color w:val="auto"/>
        </w:rPr>
        <w:t>学生应当自觉遵守公民道德规范，自觉遵守学校管理制度，创造和维护文明、整洁、优美、安全的学习和生活环境，树立安全风险防范和自我保护意识，保障自身合法权益。</w:t>
      </w:r>
    </w:p>
    <w:p>
      <w:pPr>
        <w:pStyle w:val="14"/>
        <w:spacing w:line="309" w:lineRule="exact"/>
        <w:ind w:firstLine="420"/>
        <w:jc w:val="both"/>
        <w:rPr>
          <w:color w:val="auto"/>
        </w:rPr>
      </w:pPr>
      <w:r>
        <w:rPr>
          <w:b/>
          <w:bCs/>
          <w:color w:val="auto"/>
        </w:rPr>
        <w:t>第四十二条</w:t>
      </w:r>
      <w:r>
        <w:rPr>
          <w:color w:val="auto"/>
        </w:rPr>
        <w:t>学生不得有酗酒、打架斗殴、赌博、吸毒，传播、复制、贩卖非法书刊和音像制品等违法行为；不得参与非法传销和进行邪教、封建迷信活动；不得从事或者参与有损大学生形象、有悖社会公序良俗的活动。</w:t>
      </w:r>
    </w:p>
    <w:p>
      <w:pPr>
        <w:pStyle w:val="14"/>
        <w:spacing w:line="309" w:lineRule="exact"/>
        <w:ind w:firstLine="420"/>
        <w:jc w:val="both"/>
        <w:rPr>
          <w:color w:val="auto"/>
        </w:rPr>
      </w:pPr>
      <w:r>
        <w:rPr>
          <w:color w:val="auto"/>
        </w:rPr>
        <w:t>学校发现学生在校内有违法行为或者严重精神疾病可能对他人造成伤害的，可以依法采取或者协助有关部门采取必要措施。</w:t>
      </w:r>
    </w:p>
    <w:p>
      <w:pPr>
        <w:pStyle w:val="14"/>
        <w:spacing w:line="305" w:lineRule="exact"/>
        <w:ind w:firstLine="420"/>
        <w:jc w:val="both"/>
        <w:rPr>
          <w:color w:val="auto"/>
        </w:rPr>
      </w:pPr>
      <w:r>
        <w:rPr>
          <w:b/>
          <w:bCs/>
          <w:color w:val="auto"/>
        </w:rPr>
        <w:t>第四十三条</w:t>
      </w:r>
      <w:r>
        <w:rPr>
          <w:color w:val="auto"/>
        </w:rPr>
        <w:t>学校应当坚持教育与宗教相分离原则。任何组织和个人不得在学校进行宗教活动。</w:t>
      </w:r>
    </w:p>
    <w:p>
      <w:pPr>
        <w:pStyle w:val="14"/>
        <w:spacing w:line="305" w:lineRule="exact"/>
        <w:ind w:firstLine="420"/>
        <w:jc w:val="both"/>
        <w:rPr>
          <w:color w:val="auto"/>
        </w:rPr>
      </w:pPr>
      <w:r>
        <w:rPr>
          <w:b/>
          <w:bCs/>
          <w:color w:val="auto"/>
        </w:rPr>
        <w:t>第四十四</w:t>
      </w:r>
      <w:r>
        <w:rPr>
          <w:color w:val="auto"/>
        </w:rPr>
        <w:t>条学校应当建立健全学生代表大会制度，为学生会、研究生会等开展活动提供必要条件，支持其在学生管理中发挥作用。</w:t>
      </w:r>
    </w:p>
    <w:p>
      <w:pPr>
        <w:pStyle w:val="14"/>
        <w:spacing w:line="305" w:lineRule="exact"/>
        <w:ind w:firstLine="420"/>
        <w:jc w:val="both"/>
        <w:rPr>
          <w:color w:val="auto"/>
        </w:rPr>
      </w:pPr>
      <w:r>
        <w:rPr>
          <w:color w:val="auto"/>
        </w:rPr>
        <w:t>学生可以在校内成立、参加学生团体。学生成立团体，应当按学校有关规定提出书面申请，报学校批准并施行登记和年检制度。</w:t>
      </w:r>
    </w:p>
    <w:p>
      <w:pPr>
        <w:pStyle w:val="14"/>
        <w:spacing w:line="305" w:lineRule="exact"/>
        <w:ind w:firstLine="420"/>
        <w:jc w:val="both"/>
        <w:rPr>
          <w:color w:val="auto"/>
        </w:rPr>
      </w:pPr>
      <w:r>
        <w:rPr>
          <w:color w:val="auto"/>
        </w:rPr>
        <w:t>学生团体应当在宪法、法律、法规和学校管理制度范围内活动，接受学校的领导和管理。学生团体邀请校外组织、人员到校举办讲座等活动，需经学校批准。</w:t>
      </w:r>
    </w:p>
    <w:p>
      <w:pPr>
        <w:pStyle w:val="14"/>
        <w:spacing w:line="305" w:lineRule="exact"/>
        <w:ind w:firstLine="420"/>
        <w:jc w:val="both"/>
        <w:rPr>
          <w:color w:val="auto"/>
        </w:rPr>
      </w:pPr>
      <w:r>
        <w:rPr>
          <w:b/>
          <w:bCs/>
          <w:color w:val="auto"/>
        </w:rPr>
        <w:t>第四十五条</w:t>
      </w:r>
      <w:r>
        <w:rPr>
          <w:color w:val="auto"/>
        </w:rPr>
        <w:t>学校提倡并支持学生及学生团体开展有益于身心健康、成长成才的学术、科技、艺术、文娱、体育等活动。</w:t>
      </w:r>
    </w:p>
    <w:p>
      <w:pPr>
        <w:pStyle w:val="14"/>
        <w:spacing w:line="305" w:lineRule="exact"/>
        <w:ind w:firstLine="420"/>
        <w:jc w:val="both"/>
        <w:rPr>
          <w:color w:val="auto"/>
        </w:rPr>
      </w:pPr>
      <w:r>
        <w:rPr>
          <w:color w:val="auto"/>
        </w:rPr>
        <w:t>学生进行课外活动不得影响学校正常的教育教学秩序和生活秩序。</w:t>
      </w:r>
    </w:p>
    <w:p>
      <w:pPr>
        <w:pStyle w:val="14"/>
        <w:spacing w:line="305" w:lineRule="exact"/>
        <w:ind w:firstLine="420"/>
        <w:jc w:val="both"/>
        <w:rPr>
          <w:color w:val="auto"/>
        </w:rPr>
      </w:pPr>
      <w:r>
        <w:rPr>
          <w:color w:val="auto"/>
        </w:rPr>
        <w:t>学生参加勤工助学活动应当遵守法律、法规以及学校、用工单位的管理制度，履行勤工助学活动的有关协议。</w:t>
      </w:r>
    </w:p>
    <w:p>
      <w:pPr>
        <w:pStyle w:val="14"/>
        <w:spacing w:line="305" w:lineRule="exact"/>
        <w:ind w:firstLine="420"/>
        <w:jc w:val="both"/>
        <w:rPr>
          <w:color w:val="auto"/>
        </w:rPr>
      </w:pPr>
      <w:r>
        <w:rPr>
          <w:b/>
          <w:bCs/>
          <w:color w:val="auto"/>
        </w:rPr>
        <w:t>第四十六条</w:t>
      </w:r>
      <w:r>
        <w:rPr>
          <w:color w:val="auto"/>
        </w:rPr>
        <w:t>学生举行大型集会、游行、示威等活动，应当按法律程序和有关规定获得批准。对未获批准的，学校应当依法劝阻或者制止。</w:t>
      </w:r>
    </w:p>
    <w:p>
      <w:pPr>
        <w:pStyle w:val="14"/>
        <w:spacing w:line="305" w:lineRule="exact"/>
        <w:ind w:firstLine="420"/>
        <w:jc w:val="both"/>
        <w:rPr>
          <w:color w:val="auto"/>
        </w:rPr>
      </w:pPr>
      <w:r>
        <w:rPr>
          <w:b/>
          <w:bCs/>
          <w:color w:val="auto"/>
        </w:rPr>
        <w:t>第四十七条</w:t>
      </w:r>
      <w:r>
        <w:rPr>
          <w:color w:val="auto"/>
        </w:rPr>
        <w:t>学生应当遵守国家和学校关于网络使用的有关规定，不得登录非法网站和传播非法文字、音频、视频资料等，不得编造或者传播虚假、有害信息；不得攻击、侵入他人计算机和移动通讯网络系统。</w:t>
      </w:r>
    </w:p>
    <w:p>
      <w:pPr>
        <w:pStyle w:val="14"/>
        <w:spacing w:after="380" w:line="305" w:lineRule="exact"/>
        <w:ind w:firstLine="420"/>
        <w:jc w:val="both"/>
        <w:rPr>
          <w:color w:val="auto"/>
        </w:rPr>
      </w:pPr>
      <w:r>
        <w:rPr>
          <w:b/>
          <w:bCs/>
          <w:color w:val="auto"/>
        </w:rPr>
        <w:t>第四十八条</w:t>
      </w:r>
      <w:r>
        <w:rPr>
          <w:color w:val="auto"/>
        </w:rPr>
        <w:t>学校应当建立健全学生住宿管理制度。学生应当遵守学校关于学生住宿管理的规定。鼓励和支持学生通过制定公约，实施自我管理。</w:t>
      </w:r>
    </w:p>
    <w:p>
      <w:pPr>
        <w:pStyle w:val="18"/>
        <w:keepNext/>
        <w:keepLines/>
        <w:spacing w:after="320"/>
        <w:rPr>
          <w:b/>
          <w:bCs/>
          <w:color w:val="auto"/>
        </w:rPr>
      </w:pPr>
      <w:r>
        <w:rPr>
          <w:b/>
          <w:bCs/>
          <w:color w:val="auto"/>
        </w:rPr>
        <w:t>第五章奖励与处分</w:t>
      </w:r>
    </w:p>
    <w:p>
      <w:pPr>
        <w:pStyle w:val="14"/>
        <w:spacing w:line="306" w:lineRule="exact"/>
        <w:ind w:firstLine="420"/>
        <w:jc w:val="both"/>
        <w:rPr>
          <w:color w:val="auto"/>
        </w:rPr>
      </w:pPr>
      <w:r>
        <w:rPr>
          <w:b/>
          <w:bCs/>
          <w:color w:val="auto"/>
        </w:rPr>
        <w:t>第四十九条</w:t>
      </w:r>
      <w:r>
        <w:rPr>
          <w:color w:val="auto"/>
        </w:rPr>
        <w:t>学校、省（区、市）和国家有关部门应当对在</w:t>
      </w:r>
      <w:r>
        <w:rPr>
          <w:rFonts w:hint="eastAsia"/>
          <w:color w:val="auto"/>
          <w:lang w:eastAsia="zh-CN"/>
        </w:rPr>
        <w:t>德、智、体、美、劳</w:t>
      </w:r>
      <w:r>
        <w:rPr>
          <w:color w:val="auto"/>
        </w:rPr>
        <w:t>等方面全面发展或者在思想品德、学业成绩、科技创造、体育竞赛、文艺活动、志愿服务及社会实践等方面表现突出的学生，给予表彰和奖励。</w:t>
      </w:r>
    </w:p>
    <w:p>
      <w:pPr>
        <w:pStyle w:val="14"/>
        <w:spacing w:line="306" w:lineRule="exact"/>
        <w:ind w:firstLine="420"/>
        <w:jc w:val="both"/>
        <w:rPr>
          <w:color w:val="auto"/>
        </w:rPr>
      </w:pPr>
      <w:r>
        <w:rPr>
          <w:b/>
          <w:bCs/>
          <w:color w:val="auto"/>
        </w:rPr>
        <w:t>第五十条</w:t>
      </w:r>
      <w:r>
        <w:rPr>
          <w:color w:val="auto"/>
        </w:rPr>
        <w:t>对学生的表彰和奖励可以采取授予</w:t>
      </w:r>
      <w:r>
        <w:rPr>
          <w:color w:val="auto"/>
          <w:lang w:val="zh-CN" w:eastAsia="zh-CN" w:bidi="zh-CN"/>
        </w:rPr>
        <w:t>“三好</w:t>
      </w:r>
      <w:r>
        <w:rPr>
          <w:color w:val="auto"/>
        </w:rPr>
        <w:t>学生”称号或者其他荣誉称号、颁发奖学金等多种形式，给予相应的精神鼓励或者物质奖励。</w:t>
      </w:r>
    </w:p>
    <w:p>
      <w:pPr>
        <w:pStyle w:val="14"/>
        <w:spacing w:line="306" w:lineRule="exact"/>
        <w:ind w:firstLine="420"/>
        <w:jc w:val="both"/>
        <w:rPr>
          <w:color w:val="auto"/>
        </w:rPr>
      </w:pPr>
      <w:r>
        <w:rPr>
          <w:color w:val="auto"/>
        </w:rPr>
        <w:t>学校对学生予以表彰和奖励，以及确定推荐免试研究生、国家奖学金、公派出国留学人选等赋予学生利益的行为，应当建立公开、公平、公正的程序和规定，建立和完善相应的选拔、公示等制度。</w:t>
      </w:r>
    </w:p>
    <w:p>
      <w:pPr>
        <w:pStyle w:val="14"/>
        <w:spacing w:line="304" w:lineRule="exact"/>
        <w:ind w:firstLine="420"/>
        <w:jc w:val="both"/>
        <w:rPr>
          <w:color w:val="auto"/>
        </w:rPr>
      </w:pPr>
      <w:r>
        <w:rPr>
          <w:b/>
          <w:bCs/>
          <w:color w:val="auto"/>
        </w:rPr>
        <w:t>第五十一条</w:t>
      </w:r>
      <w:r>
        <w:rPr>
          <w:color w:val="auto"/>
        </w:rPr>
        <w:t>对有违反法律法规、本规定以及学校纪律行为的学生，学校应当给予批评教育，并可视情节轻重，给予如下纪律处分：</w:t>
      </w:r>
    </w:p>
    <w:p>
      <w:pPr>
        <w:pStyle w:val="14"/>
        <w:spacing w:line="304" w:lineRule="exact"/>
        <w:ind w:firstLine="420"/>
        <w:jc w:val="both"/>
        <w:rPr>
          <w:color w:val="auto"/>
        </w:rPr>
      </w:pPr>
      <w:r>
        <w:rPr>
          <w:color w:val="auto"/>
        </w:rPr>
        <w:t>（一）警告；</w:t>
      </w:r>
    </w:p>
    <w:p>
      <w:pPr>
        <w:pStyle w:val="14"/>
        <w:spacing w:line="302" w:lineRule="exact"/>
        <w:ind w:firstLine="420"/>
        <w:jc w:val="both"/>
        <w:rPr>
          <w:color w:val="auto"/>
        </w:rPr>
      </w:pPr>
      <w:r>
        <w:rPr>
          <w:color w:val="auto"/>
        </w:rPr>
        <w:t>（二）严重警告；</w:t>
      </w:r>
    </w:p>
    <w:p>
      <w:pPr>
        <w:pStyle w:val="14"/>
        <w:spacing w:line="302" w:lineRule="exact"/>
        <w:ind w:firstLine="420"/>
        <w:jc w:val="both"/>
        <w:rPr>
          <w:color w:val="auto"/>
        </w:rPr>
      </w:pPr>
      <w:r>
        <w:rPr>
          <w:color w:val="auto"/>
        </w:rPr>
        <w:t>（三）记过；</w:t>
      </w:r>
    </w:p>
    <w:p>
      <w:pPr>
        <w:pStyle w:val="14"/>
        <w:spacing w:line="302" w:lineRule="exact"/>
        <w:ind w:firstLine="420"/>
        <w:jc w:val="both"/>
        <w:rPr>
          <w:color w:val="auto"/>
        </w:rPr>
      </w:pPr>
      <w:r>
        <w:rPr>
          <w:color w:val="auto"/>
        </w:rPr>
        <w:t>（四）留校察看；</w:t>
      </w:r>
    </w:p>
    <w:p>
      <w:pPr>
        <w:pStyle w:val="14"/>
        <w:spacing w:line="302" w:lineRule="exact"/>
        <w:ind w:firstLine="420"/>
        <w:jc w:val="both"/>
        <w:rPr>
          <w:color w:val="auto"/>
        </w:rPr>
      </w:pPr>
      <w:r>
        <w:rPr>
          <w:color w:val="auto"/>
        </w:rPr>
        <w:t>（五）开除学籍。</w:t>
      </w:r>
    </w:p>
    <w:p>
      <w:pPr>
        <w:pStyle w:val="14"/>
        <w:spacing w:line="302" w:lineRule="exact"/>
        <w:ind w:firstLine="420"/>
        <w:jc w:val="both"/>
        <w:rPr>
          <w:color w:val="auto"/>
        </w:rPr>
      </w:pPr>
      <w:r>
        <w:rPr>
          <w:b/>
          <w:bCs/>
          <w:color w:val="auto"/>
        </w:rPr>
        <w:t>第五十二条</w:t>
      </w:r>
      <w:r>
        <w:rPr>
          <w:color w:val="auto"/>
        </w:rPr>
        <w:t>学生有下列情形之一，学校可以给予开除学籍处分：</w:t>
      </w:r>
    </w:p>
    <w:p>
      <w:pPr>
        <w:pStyle w:val="14"/>
        <w:spacing w:line="302" w:lineRule="exact"/>
        <w:ind w:firstLine="420"/>
        <w:jc w:val="both"/>
        <w:rPr>
          <w:color w:val="auto"/>
        </w:rPr>
      </w:pPr>
      <w:r>
        <w:rPr>
          <w:color w:val="auto"/>
        </w:rPr>
        <w:t>（一）违反宪法，反对四项基本原则、破坏安定团结、扰乱社会秩序的；</w:t>
      </w:r>
    </w:p>
    <w:p>
      <w:pPr>
        <w:pStyle w:val="14"/>
        <w:spacing w:line="302" w:lineRule="exact"/>
        <w:ind w:firstLine="420"/>
        <w:jc w:val="both"/>
        <w:rPr>
          <w:color w:val="auto"/>
        </w:rPr>
      </w:pPr>
      <w:r>
        <w:rPr>
          <w:color w:val="auto"/>
        </w:rPr>
        <w:t>（二）触犯国家法律，构成刑事犯罪的；</w:t>
      </w:r>
    </w:p>
    <w:p>
      <w:pPr>
        <w:pStyle w:val="14"/>
        <w:spacing w:line="302" w:lineRule="exact"/>
        <w:ind w:firstLine="420"/>
        <w:jc w:val="both"/>
        <w:rPr>
          <w:color w:val="auto"/>
        </w:rPr>
      </w:pPr>
      <w:r>
        <w:rPr>
          <w:color w:val="auto"/>
        </w:rPr>
        <w:t>（三）受到治安管理处罚，情节严重、性质恶劣的；</w:t>
      </w:r>
    </w:p>
    <w:p>
      <w:pPr>
        <w:pStyle w:val="14"/>
        <w:spacing w:line="302" w:lineRule="exact"/>
        <w:ind w:firstLine="420"/>
        <w:jc w:val="both"/>
        <w:rPr>
          <w:color w:val="auto"/>
        </w:rPr>
      </w:pPr>
      <w:r>
        <w:rPr>
          <w:color w:val="auto"/>
        </w:rPr>
        <w:t>（四）代替他人或者让他人代替自己参加考试、组织作弊、使用通讯设备或其他器材作弊</w:t>
      </w:r>
      <w:r>
        <w:rPr>
          <w:rFonts w:hint="eastAsia"/>
          <w:color w:val="auto"/>
        </w:rPr>
        <w:t>、</w:t>
      </w:r>
      <w:r>
        <w:rPr>
          <w:color w:val="auto"/>
        </w:rPr>
        <w:t>向他人出售考试试题或答案</w:t>
      </w:r>
      <w:r>
        <w:rPr>
          <w:rFonts w:hint="eastAsia"/>
          <w:color w:val="auto"/>
        </w:rPr>
        <w:t>谋</w:t>
      </w:r>
      <w:r>
        <w:rPr>
          <w:color w:val="auto"/>
        </w:rPr>
        <w:t>取利益，以及其他严重作弊或扰乱考试秩序行为的；</w:t>
      </w:r>
    </w:p>
    <w:p>
      <w:pPr>
        <w:pStyle w:val="14"/>
        <w:spacing w:line="302" w:lineRule="exact"/>
        <w:ind w:firstLine="420"/>
        <w:jc w:val="both"/>
        <w:rPr>
          <w:color w:val="auto"/>
        </w:rPr>
      </w:pPr>
      <w:r>
        <w:rPr>
          <w:color w:val="auto"/>
        </w:rPr>
        <w:t>（五）学位论文、公开发表的研究成果存在抄袭、篡改、伪造等学术不端行为，情节严重的，或者代写论文、买卖论文的；</w:t>
      </w:r>
    </w:p>
    <w:p>
      <w:pPr>
        <w:pStyle w:val="14"/>
        <w:spacing w:line="302" w:lineRule="exact"/>
        <w:ind w:firstLine="420"/>
        <w:jc w:val="both"/>
        <w:rPr>
          <w:color w:val="auto"/>
        </w:rPr>
      </w:pPr>
      <w:r>
        <w:rPr>
          <w:color w:val="auto"/>
        </w:rPr>
        <w:t>（六）违反本规定和学校规定，严重影响学校教育教学秩序、生活秩序以及公共场所管理秩序的；</w:t>
      </w:r>
    </w:p>
    <w:p>
      <w:pPr>
        <w:pStyle w:val="14"/>
        <w:spacing w:line="302" w:lineRule="exact"/>
        <w:ind w:firstLine="420"/>
        <w:jc w:val="both"/>
        <w:rPr>
          <w:color w:val="auto"/>
        </w:rPr>
      </w:pPr>
      <w:r>
        <w:rPr>
          <w:color w:val="auto"/>
        </w:rPr>
        <w:t>（七）侵害其他个人、组织合法权益，造成严重后果的；</w:t>
      </w:r>
    </w:p>
    <w:p>
      <w:pPr>
        <w:pStyle w:val="14"/>
        <w:spacing w:line="302" w:lineRule="exact"/>
        <w:ind w:firstLine="420"/>
        <w:jc w:val="both"/>
        <w:rPr>
          <w:color w:val="auto"/>
        </w:rPr>
      </w:pPr>
      <w:r>
        <w:rPr>
          <w:color w:val="auto"/>
        </w:rPr>
        <w:t>（</w:t>
      </w:r>
      <w:r>
        <w:rPr>
          <w:rFonts w:hint="eastAsia"/>
          <w:color w:val="auto"/>
        </w:rPr>
        <w:t>八</w:t>
      </w:r>
      <w:r>
        <w:rPr>
          <w:rFonts w:hint="eastAsia"/>
          <w:color w:val="auto"/>
          <w:szCs w:val="20"/>
        </w:rPr>
        <w:t>）</w:t>
      </w:r>
      <w:r>
        <w:rPr>
          <w:color w:val="auto"/>
        </w:rPr>
        <w:t>屡次违反学校规定受到纪律处分，经教育不改的。</w:t>
      </w:r>
    </w:p>
    <w:p>
      <w:pPr>
        <w:pStyle w:val="14"/>
        <w:spacing w:line="302" w:lineRule="exact"/>
        <w:ind w:firstLine="420"/>
        <w:jc w:val="both"/>
        <w:rPr>
          <w:color w:val="auto"/>
        </w:rPr>
      </w:pPr>
      <w:r>
        <w:rPr>
          <w:b/>
          <w:bCs/>
          <w:color w:val="auto"/>
        </w:rPr>
        <w:t>第五十三条</w:t>
      </w:r>
      <w:r>
        <w:rPr>
          <w:color w:val="auto"/>
        </w:rPr>
        <w:t>学校对学生作出处分，应当出具处分决定书。处分决定书应当包括下列内容：</w:t>
      </w:r>
    </w:p>
    <w:p>
      <w:pPr>
        <w:pStyle w:val="14"/>
        <w:spacing w:line="302" w:lineRule="exact"/>
        <w:ind w:firstLine="420"/>
        <w:jc w:val="both"/>
        <w:rPr>
          <w:color w:val="auto"/>
        </w:rPr>
      </w:pPr>
      <w:r>
        <w:rPr>
          <w:color w:val="auto"/>
        </w:rPr>
        <w:t>（一）学生的基本信息；</w:t>
      </w:r>
    </w:p>
    <w:p>
      <w:pPr>
        <w:pStyle w:val="14"/>
        <w:spacing w:line="302" w:lineRule="exact"/>
        <w:ind w:firstLine="420"/>
        <w:rPr>
          <w:color w:val="auto"/>
        </w:rPr>
      </w:pPr>
      <w:r>
        <w:rPr>
          <w:color w:val="auto"/>
        </w:rPr>
        <w:t>（二）作出处分的事实和证据；</w:t>
      </w:r>
    </w:p>
    <w:p>
      <w:pPr>
        <w:pStyle w:val="14"/>
        <w:spacing w:line="302" w:lineRule="exact"/>
        <w:ind w:firstLine="420"/>
        <w:rPr>
          <w:color w:val="auto"/>
        </w:rPr>
      </w:pPr>
      <w:r>
        <w:rPr>
          <w:color w:val="auto"/>
        </w:rPr>
        <w:t>（三）处分的种类、依据、期限；</w:t>
      </w:r>
    </w:p>
    <w:p>
      <w:pPr>
        <w:pStyle w:val="14"/>
        <w:spacing w:line="302" w:lineRule="exact"/>
        <w:ind w:firstLine="420"/>
        <w:jc w:val="both"/>
        <w:rPr>
          <w:color w:val="auto"/>
        </w:rPr>
      </w:pPr>
      <w:r>
        <w:rPr>
          <w:color w:val="auto"/>
        </w:rPr>
        <w:t>（四）申诉的途径和期限；</w:t>
      </w:r>
    </w:p>
    <w:p>
      <w:pPr>
        <w:pStyle w:val="14"/>
        <w:spacing w:line="302" w:lineRule="exact"/>
        <w:ind w:firstLine="420"/>
        <w:jc w:val="both"/>
        <w:rPr>
          <w:color w:val="auto"/>
        </w:rPr>
      </w:pPr>
      <w:r>
        <w:rPr>
          <w:color w:val="auto"/>
        </w:rPr>
        <w:t>（五）其他必要内容。</w:t>
      </w:r>
    </w:p>
    <w:p>
      <w:pPr>
        <w:pStyle w:val="14"/>
        <w:spacing w:line="302" w:lineRule="exact"/>
        <w:ind w:firstLine="420"/>
        <w:jc w:val="both"/>
        <w:rPr>
          <w:color w:val="auto"/>
        </w:rPr>
      </w:pPr>
      <w:r>
        <w:rPr>
          <w:b/>
          <w:bCs/>
          <w:color w:val="auto"/>
        </w:rPr>
        <w:t>第五十四条</w:t>
      </w:r>
      <w:r>
        <w:rPr>
          <w:color w:val="auto"/>
        </w:rPr>
        <w:t>学校给予学生处分，应当坚持教育与惩戒相结合，与学生违法、违纪行为的性质和过错的严重程度相适应。学校对学生的处分，应当做到证据充分、依据明确、定性准确、程序正当、处分适当。</w:t>
      </w:r>
    </w:p>
    <w:p>
      <w:pPr>
        <w:pStyle w:val="14"/>
        <w:spacing w:line="302" w:lineRule="exact"/>
        <w:ind w:firstLine="420"/>
        <w:jc w:val="both"/>
        <w:rPr>
          <w:color w:val="auto"/>
        </w:rPr>
      </w:pPr>
      <w:r>
        <w:rPr>
          <w:b/>
          <w:bCs/>
          <w:color w:val="auto"/>
        </w:rPr>
        <w:t>第五十五条</w:t>
      </w:r>
      <w:r>
        <w:rPr>
          <w:color w:val="auto"/>
        </w:rPr>
        <w:t>在对学生作出处分或者其他不利决定之前，学校应当告知学生作出决定的事实、理由及依据，并告知学生享有陈述和申辩的权利，听取学生的陈述和申辩。</w:t>
      </w:r>
    </w:p>
    <w:p>
      <w:pPr>
        <w:pStyle w:val="14"/>
        <w:spacing w:line="302" w:lineRule="exact"/>
        <w:ind w:firstLine="420"/>
        <w:jc w:val="both"/>
        <w:rPr>
          <w:color w:val="auto"/>
        </w:rPr>
      </w:pPr>
      <w:r>
        <w:rPr>
          <w:color w:val="auto"/>
        </w:rPr>
        <w:t>处理、处分决定以及处分告知书等，应当直接送达学生本人，学生拒绝签收的，可以以留置方式送达；已离校的，可以采取邮寄方式送达；难于联系的，可以利用学校网站、新闻媒体等以公告方式送达。</w:t>
      </w:r>
    </w:p>
    <w:p>
      <w:pPr>
        <w:pStyle w:val="14"/>
        <w:spacing w:line="302" w:lineRule="exact"/>
        <w:ind w:firstLine="420"/>
        <w:jc w:val="both"/>
        <w:rPr>
          <w:color w:val="auto"/>
        </w:rPr>
      </w:pPr>
      <w:r>
        <w:rPr>
          <w:b/>
          <w:bCs/>
          <w:color w:val="auto"/>
        </w:rPr>
        <w:t>第五十六条</w:t>
      </w:r>
      <w:r>
        <w:rPr>
          <w:color w:val="auto"/>
        </w:rPr>
        <w:t>对学生作出取消入学资格、取消学籍、退学、开除学籍或者其他涉及学生重大利益的处理或者处分决定的，应当提交校长办公会或者校长授权的专门会议研究决定，并应当事先进行合法性审查。</w:t>
      </w:r>
    </w:p>
    <w:p>
      <w:pPr>
        <w:pStyle w:val="14"/>
        <w:spacing w:line="307" w:lineRule="exact"/>
        <w:ind w:firstLine="420"/>
        <w:jc w:val="both"/>
        <w:rPr>
          <w:color w:val="auto"/>
        </w:rPr>
      </w:pPr>
      <w:r>
        <w:rPr>
          <w:b/>
          <w:bCs/>
          <w:color w:val="auto"/>
        </w:rPr>
        <w:t>第五十七条</w:t>
      </w:r>
      <w:r>
        <w:rPr>
          <w:color w:val="auto"/>
        </w:rPr>
        <w:t>除开除学籍处分以外，给予学生处分一般应当设置</w:t>
      </w:r>
      <w:r>
        <w:rPr>
          <w:rFonts w:ascii="Times New Roman" w:hAnsi="Times New Roman" w:eastAsia="Times New Roman" w:cs="Times New Roman"/>
          <w:color w:val="auto"/>
          <w:sz w:val="20"/>
          <w:szCs w:val="20"/>
        </w:rPr>
        <w:t>6</w:t>
      </w:r>
      <w:r>
        <w:rPr>
          <w:color w:val="auto"/>
        </w:rPr>
        <w:t>到</w:t>
      </w:r>
      <w:r>
        <w:rPr>
          <w:rFonts w:ascii="Times New Roman" w:hAnsi="Times New Roman" w:eastAsia="Times New Roman" w:cs="Times New Roman"/>
          <w:color w:val="auto"/>
          <w:sz w:val="20"/>
          <w:szCs w:val="20"/>
        </w:rPr>
        <w:t>12</w:t>
      </w:r>
      <w:r>
        <w:rPr>
          <w:color w:val="auto"/>
        </w:rPr>
        <w:t>个月期限，到期按学校规定程序予以解除。解除处分后，学生获得表彰、奖励及其他权益，不再受原处分的影响。</w:t>
      </w:r>
    </w:p>
    <w:p>
      <w:pPr>
        <w:pStyle w:val="14"/>
        <w:spacing w:line="307" w:lineRule="exact"/>
        <w:ind w:firstLine="420"/>
        <w:jc w:val="both"/>
        <w:rPr>
          <w:color w:val="auto"/>
        </w:rPr>
      </w:pPr>
      <w:r>
        <w:rPr>
          <w:b/>
          <w:bCs/>
          <w:color w:val="auto"/>
        </w:rPr>
        <w:t>第五十八条</w:t>
      </w:r>
      <w:r>
        <w:rPr>
          <w:color w:val="auto"/>
        </w:rPr>
        <w:t>对学生的奖励、处理、处分及解除处分材料，学校应当真实完整地归入学校文书档案和本人档案。</w:t>
      </w:r>
    </w:p>
    <w:p>
      <w:pPr>
        <w:pStyle w:val="14"/>
        <w:spacing w:after="340" w:line="307" w:lineRule="exact"/>
        <w:ind w:firstLine="420"/>
        <w:jc w:val="both"/>
        <w:rPr>
          <w:color w:val="auto"/>
        </w:rPr>
      </w:pPr>
      <w:r>
        <w:rPr>
          <w:color w:val="auto"/>
        </w:rPr>
        <w:t>被开除学籍的学生，由学校发给学习证明。学生按学校规定期限离校，档案由学校退回其家庭所在地，户口应当按照国家相关规定迁回原户籍地或者家庭户籍所在地。</w:t>
      </w:r>
    </w:p>
    <w:p>
      <w:pPr>
        <w:pStyle w:val="18"/>
        <w:keepNext/>
        <w:keepLines/>
        <w:spacing w:after="340"/>
        <w:rPr>
          <w:b/>
          <w:bCs/>
          <w:color w:val="auto"/>
        </w:rPr>
      </w:pPr>
      <w:bookmarkStart w:id="711" w:name="bookmark1166"/>
      <w:bookmarkStart w:id="712" w:name="bookmark1167"/>
      <w:bookmarkStart w:id="713" w:name="bookmark1168"/>
      <w:r>
        <w:rPr>
          <w:b/>
          <w:bCs/>
          <w:color w:val="auto"/>
        </w:rPr>
        <w:t>第六章学生申诉</w:t>
      </w:r>
      <w:bookmarkEnd w:id="711"/>
      <w:bookmarkEnd w:id="712"/>
      <w:bookmarkEnd w:id="713"/>
    </w:p>
    <w:p>
      <w:pPr>
        <w:pStyle w:val="14"/>
        <w:spacing w:line="305" w:lineRule="exact"/>
        <w:ind w:firstLine="420"/>
        <w:jc w:val="both"/>
        <w:rPr>
          <w:color w:val="auto"/>
        </w:rPr>
      </w:pPr>
      <w:r>
        <w:rPr>
          <w:b/>
          <w:bCs/>
          <w:color w:val="auto"/>
        </w:rPr>
        <w:t>第五十九条</w:t>
      </w:r>
      <w:r>
        <w:rPr>
          <w:color w:val="auto"/>
        </w:rPr>
        <w:t>学校应当成立学生申诉处理委员会，负责受理学生对处理或者处分决定不服提起的申诉。</w:t>
      </w:r>
    </w:p>
    <w:p>
      <w:pPr>
        <w:pStyle w:val="14"/>
        <w:spacing w:line="305" w:lineRule="exact"/>
        <w:ind w:firstLine="420"/>
        <w:jc w:val="both"/>
        <w:rPr>
          <w:color w:val="auto"/>
        </w:rPr>
      </w:pPr>
      <w:r>
        <w:rPr>
          <w:color w:val="auto"/>
        </w:rPr>
        <w:t>学生申诉处理委员会应当由学校相关负责人、职能部门负责人、教师代表、学生代表、负责法律事务的相关机构负责人等组成，可以聘请校外法律、教育等方面专家参加。</w:t>
      </w:r>
    </w:p>
    <w:p>
      <w:pPr>
        <w:pStyle w:val="14"/>
        <w:spacing w:line="305" w:lineRule="exact"/>
        <w:ind w:firstLine="420"/>
        <w:jc w:val="both"/>
        <w:rPr>
          <w:color w:val="auto"/>
        </w:rPr>
      </w:pPr>
      <w:r>
        <w:rPr>
          <w:color w:val="auto"/>
        </w:rPr>
        <w:t>学校应当制定学生申诉的具体办法，健全学生申诉处理委员会的组成与工作规则，提供必要条件，保证其能够客观、公正地履行职责。</w:t>
      </w:r>
    </w:p>
    <w:p>
      <w:pPr>
        <w:pStyle w:val="14"/>
        <w:spacing w:line="305" w:lineRule="exact"/>
        <w:ind w:firstLine="420"/>
        <w:jc w:val="both"/>
        <w:rPr>
          <w:color w:val="auto"/>
        </w:rPr>
      </w:pPr>
      <w:r>
        <w:rPr>
          <w:b/>
          <w:bCs/>
          <w:color w:val="auto"/>
        </w:rPr>
        <w:t>第六十条</w:t>
      </w:r>
      <w:r>
        <w:rPr>
          <w:color w:val="auto"/>
        </w:rPr>
        <w:t>学生对学校的处理或者处分决定有异议的，可以在接到学校处理或者处分决定书之日起</w:t>
      </w:r>
      <w:r>
        <w:rPr>
          <w:rFonts w:ascii="Times New Roman" w:hAnsi="Times New Roman" w:eastAsia="Times New Roman" w:cs="Times New Roman"/>
          <w:color w:val="auto"/>
          <w:sz w:val="20"/>
          <w:szCs w:val="20"/>
        </w:rPr>
        <w:t>10</w:t>
      </w:r>
      <w:r>
        <w:rPr>
          <w:color w:val="auto"/>
        </w:rPr>
        <w:t>日内，向学校学生申诉处理委员会提出书面申诉。</w:t>
      </w:r>
    </w:p>
    <w:p>
      <w:pPr>
        <w:pStyle w:val="14"/>
        <w:spacing w:line="307" w:lineRule="exact"/>
        <w:ind w:firstLine="420"/>
        <w:jc w:val="both"/>
        <w:rPr>
          <w:color w:val="auto"/>
        </w:rPr>
      </w:pPr>
      <w:r>
        <w:rPr>
          <w:b/>
          <w:bCs/>
          <w:color w:val="auto"/>
        </w:rPr>
        <w:t>第六十一条</w:t>
      </w:r>
      <w:r>
        <w:rPr>
          <w:color w:val="auto"/>
        </w:rPr>
        <w:t>学生申诉处理委员会对学生提出的申诉进行复查，并在接到书面申诉之日起</w:t>
      </w:r>
      <w:r>
        <w:rPr>
          <w:rFonts w:ascii="Times New Roman" w:hAnsi="Times New Roman" w:eastAsia="Times New Roman" w:cs="Times New Roman"/>
          <w:color w:val="auto"/>
          <w:sz w:val="20"/>
          <w:szCs w:val="20"/>
        </w:rPr>
        <w:t>15</w:t>
      </w:r>
      <w:r>
        <w:rPr>
          <w:color w:val="auto"/>
        </w:rPr>
        <w:t>日内作出复查结论并告知申诉人。情况复杂不能在规定限期内作出结论的，经学校负责人批准，可延长</w:t>
      </w:r>
      <w:r>
        <w:rPr>
          <w:rFonts w:ascii="Times New Roman" w:hAnsi="Times New Roman" w:eastAsia="Times New Roman" w:cs="Times New Roman"/>
          <w:color w:val="auto"/>
          <w:sz w:val="20"/>
          <w:szCs w:val="20"/>
        </w:rPr>
        <w:t>15</w:t>
      </w:r>
      <w:r>
        <w:rPr>
          <w:color w:val="auto"/>
        </w:rPr>
        <w:t>日。学生申诉处理委员会认为必要的，可以建议学校暂缓执行有关决定</w:t>
      </w:r>
      <w:r>
        <w:rPr>
          <w:color w:val="auto"/>
          <w:lang w:val="en-US" w:eastAsia="zh-CN" w:bidi="en-US"/>
        </w:rPr>
        <w:t>。</w:t>
      </w:r>
    </w:p>
    <w:p>
      <w:pPr>
        <w:pStyle w:val="14"/>
        <w:spacing w:line="307" w:lineRule="exact"/>
        <w:ind w:firstLine="420"/>
        <w:jc w:val="both"/>
        <w:rPr>
          <w:color w:val="auto"/>
        </w:rPr>
      </w:pPr>
      <w:r>
        <w:rPr>
          <w:color w:val="auto"/>
        </w:rPr>
        <w:t>学生申诉处理委员会经复査，认为做出处理或者处分的事实、依据、程序等存在不当，可以作出建议撤销或变更的复查意见，要求相关职能部门予以研究，重新提交校长办公会或者专门会议作出决定。</w:t>
      </w:r>
    </w:p>
    <w:p>
      <w:pPr>
        <w:pStyle w:val="14"/>
        <w:spacing w:line="308" w:lineRule="exact"/>
        <w:ind w:firstLine="420"/>
        <w:jc w:val="both"/>
        <w:rPr>
          <w:color w:val="auto"/>
        </w:rPr>
      </w:pPr>
      <w:r>
        <w:rPr>
          <w:b/>
          <w:bCs/>
          <w:color w:val="auto"/>
        </w:rPr>
        <w:t>第六十二条</w:t>
      </w:r>
      <w:r>
        <w:rPr>
          <w:color w:val="auto"/>
        </w:rPr>
        <w:t>学生对复查决定有异议的，在接到学校复查决定书之日起</w:t>
      </w:r>
      <w:r>
        <w:rPr>
          <w:rFonts w:ascii="Times New Roman" w:hAnsi="Times New Roman" w:eastAsia="Times New Roman" w:cs="Times New Roman"/>
          <w:color w:val="auto"/>
          <w:sz w:val="20"/>
          <w:szCs w:val="20"/>
        </w:rPr>
        <w:t>15</w:t>
      </w:r>
      <w:r>
        <w:rPr>
          <w:color w:val="auto"/>
        </w:rPr>
        <w:t>日内，可以向学校所在地省级教育行政部门提出书面申诉。</w:t>
      </w:r>
    </w:p>
    <w:p>
      <w:pPr>
        <w:pStyle w:val="14"/>
        <w:spacing w:line="308" w:lineRule="exact"/>
        <w:ind w:firstLine="420"/>
        <w:jc w:val="both"/>
        <w:rPr>
          <w:color w:val="auto"/>
        </w:rPr>
      </w:pPr>
      <w:r>
        <w:rPr>
          <w:color w:val="auto"/>
        </w:rPr>
        <w:t>省级教育行政部门应当在接到学生书面申诉之日起</w:t>
      </w:r>
      <w:r>
        <w:rPr>
          <w:rFonts w:ascii="Times New Roman" w:hAnsi="Times New Roman" w:eastAsia="Times New Roman" w:cs="Times New Roman"/>
          <w:color w:val="auto"/>
          <w:sz w:val="20"/>
          <w:szCs w:val="20"/>
        </w:rPr>
        <w:t>30</w:t>
      </w:r>
      <w:r>
        <w:rPr>
          <w:color w:val="auto"/>
        </w:rPr>
        <w:t>个工作日内，对申诉人的问题给予处理并作出决定。</w:t>
      </w:r>
    </w:p>
    <w:p>
      <w:pPr>
        <w:pStyle w:val="14"/>
        <w:spacing w:line="308" w:lineRule="exact"/>
        <w:ind w:firstLine="420"/>
        <w:jc w:val="both"/>
        <w:rPr>
          <w:color w:val="auto"/>
        </w:rPr>
      </w:pPr>
      <w:r>
        <w:rPr>
          <w:b/>
          <w:bCs/>
          <w:color w:val="auto"/>
        </w:rPr>
        <w:t>第六十三条</w:t>
      </w:r>
      <w:r>
        <w:rPr>
          <w:color w:val="auto"/>
        </w:rPr>
        <w:t>省级教育行政部门在处理因对学校处理或者处分决定不服提起的学生申诉时，应当听取学生和学校的意见，并可根据需要进行必要的调查。根据审查结论，区别不同情况，分别作出下列处理：</w:t>
      </w:r>
    </w:p>
    <w:p>
      <w:pPr>
        <w:pStyle w:val="14"/>
        <w:spacing w:line="303" w:lineRule="exact"/>
        <w:ind w:firstLine="420"/>
        <w:jc w:val="both"/>
        <w:rPr>
          <w:color w:val="auto"/>
        </w:rPr>
      </w:pPr>
      <w:r>
        <w:rPr>
          <w:color w:val="auto"/>
        </w:rPr>
        <w:t>（一）事实清楚、依据明确、定性准确、程序正当、处分适当的，予以维持；</w:t>
      </w:r>
    </w:p>
    <w:p>
      <w:pPr>
        <w:pStyle w:val="14"/>
        <w:spacing w:line="303" w:lineRule="exact"/>
        <w:ind w:firstLine="420"/>
        <w:jc w:val="both"/>
        <w:rPr>
          <w:color w:val="auto"/>
        </w:rPr>
      </w:pPr>
      <w:r>
        <w:rPr>
          <w:color w:val="auto"/>
        </w:rPr>
        <w:t>（二）认定事实不存在，或者学校超越职权、违反上位法规定作出决定的，责令学校予以撤销；</w:t>
      </w:r>
    </w:p>
    <w:p>
      <w:pPr>
        <w:pStyle w:val="14"/>
        <w:spacing w:line="303" w:lineRule="exact"/>
        <w:ind w:firstLine="420"/>
        <w:jc w:val="both"/>
        <w:rPr>
          <w:color w:val="auto"/>
        </w:rPr>
      </w:pPr>
      <w:r>
        <w:rPr>
          <w:color w:val="auto"/>
        </w:rPr>
        <w:t>（三）认定事实清楚，但认定情节有误、定性不准确，或者适用依据有错误的，责令学校变更或者重新作出决定；</w:t>
      </w:r>
    </w:p>
    <w:p>
      <w:pPr>
        <w:pStyle w:val="14"/>
        <w:spacing w:line="303" w:lineRule="exact"/>
        <w:ind w:firstLine="420"/>
        <w:jc w:val="both"/>
        <w:rPr>
          <w:color w:val="auto"/>
        </w:rPr>
      </w:pPr>
      <w:r>
        <w:rPr>
          <w:color w:val="auto"/>
        </w:rPr>
        <w:t>（四）认定事实不清、证据不足，或者违反本规定以及学校规定的程序和权限的，责令学校重新作出决定。</w:t>
      </w:r>
    </w:p>
    <w:p>
      <w:pPr>
        <w:pStyle w:val="14"/>
        <w:spacing w:line="303" w:lineRule="exact"/>
        <w:ind w:firstLine="420"/>
        <w:jc w:val="both"/>
        <w:rPr>
          <w:color w:val="auto"/>
        </w:rPr>
      </w:pPr>
      <w:r>
        <w:rPr>
          <w:b/>
          <w:bCs/>
          <w:color w:val="auto"/>
        </w:rPr>
        <w:t>第六十四条</w:t>
      </w:r>
      <w:r>
        <w:rPr>
          <w:color w:val="auto"/>
        </w:rPr>
        <w:t>自处理、处分或者复查决定书送达之日起，学生在申诉期内未提出申诉的视为放弃申诉，学校或者省级教育行政部门不再受理其提出的申诉。</w:t>
      </w:r>
    </w:p>
    <w:p>
      <w:pPr>
        <w:pStyle w:val="14"/>
        <w:spacing w:line="303" w:lineRule="exact"/>
        <w:ind w:firstLine="420"/>
        <w:jc w:val="both"/>
        <w:rPr>
          <w:color w:val="auto"/>
          <w:sz w:val="20"/>
          <w:szCs w:val="20"/>
        </w:rPr>
      </w:pPr>
      <w:r>
        <w:rPr>
          <w:color w:val="auto"/>
        </w:rPr>
        <w:t>处理、处分或者复查决定书未告知学生申诉期限的，申诉期限自学生知道或者应当知道处理或者处分决定之日起计算，但最长不得超过</w:t>
      </w:r>
      <w:r>
        <w:rPr>
          <w:rFonts w:ascii="Times New Roman" w:hAnsi="Times New Roman" w:eastAsia="Times New Roman" w:cs="Times New Roman"/>
          <w:color w:val="auto"/>
          <w:sz w:val="20"/>
          <w:szCs w:val="20"/>
        </w:rPr>
        <w:t>6</w:t>
      </w:r>
      <w:r>
        <w:rPr>
          <w:color w:val="auto"/>
        </w:rPr>
        <w:t>个月</w:t>
      </w:r>
      <w:r>
        <w:rPr>
          <w:rFonts w:hint="eastAsia"/>
          <w:color w:val="auto"/>
          <w:sz w:val="20"/>
          <w:szCs w:val="20"/>
          <w:lang w:val="en-US" w:eastAsia="zh-CN" w:bidi="en-US"/>
        </w:rPr>
        <w:t>。</w:t>
      </w:r>
    </w:p>
    <w:p>
      <w:pPr>
        <w:pStyle w:val="14"/>
        <w:spacing w:line="303" w:lineRule="exact"/>
        <w:ind w:firstLine="420"/>
        <w:jc w:val="both"/>
        <w:rPr>
          <w:color w:val="auto"/>
        </w:rPr>
      </w:pPr>
      <w:r>
        <w:rPr>
          <w:b/>
          <w:bCs/>
          <w:color w:val="auto"/>
        </w:rPr>
        <w:t>第六十五条</w:t>
      </w:r>
      <w:r>
        <w:rPr>
          <w:color w:val="auto"/>
        </w:rPr>
        <w:t>学生认为学校及其工作人员违反本规定，侵害其合法权益的；或者学校制定的规章制度与法律法规和本规定抵触的，可以向学校所在地省级教育行政部门投诉。</w:t>
      </w:r>
    </w:p>
    <w:p>
      <w:pPr>
        <w:pStyle w:val="14"/>
        <w:spacing w:after="400" w:line="299" w:lineRule="exact"/>
        <w:ind w:firstLine="420"/>
        <w:jc w:val="both"/>
        <w:rPr>
          <w:color w:val="auto"/>
        </w:rPr>
      </w:pPr>
      <w:r>
        <w:rPr>
          <w:color w:val="auto"/>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18"/>
        <w:keepNext/>
        <w:keepLines/>
        <w:rPr>
          <w:b/>
          <w:bCs/>
          <w:color w:val="auto"/>
        </w:rPr>
      </w:pPr>
      <w:bookmarkStart w:id="714" w:name="bookmark1173"/>
      <w:bookmarkStart w:id="715" w:name="bookmark1175"/>
      <w:bookmarkStart w:id="716" w:name="bookmark1174"/>
      <w:r>
        <w:rPr>
          <w:b/>
          <w:bCs/>
          <w:color w:val="auto"/>
        </w:rPr>
        <w:t>第七章附则</w:t>
      </w:r>
      <w:bookmarkEnd w:id="714"/>
      <w:bookmarkEnd w:id="715"/>
      <w:bookmarkEnd w:id="716"/>
    </w:p>
    <w:p>
      <w:pPr>
        <w:pStyle w:val="14"/>
        <w:spacing w:line="301" w:lineRule="exact"/>
        <w:ind w:firstLine="420"/>
        <w:jc w:val="both"/>
        <w:rPr>
          <w:color w:val="auto"/>
        </w:rPr>
      </w:pPr>
      <w:r>
        <w:rPr>
          <w:b/>
          <w:bCs/>
          <w:color w:val="auto"/>
        </w:rPr>
        <w:t>第六十六条</w:t>
      </w:r>
      <w:r>
        <w:rPr>
          <w:color w:val="auto"/>
        </w:rPr>
        <w:t>学校对接受高等学历继续教育的学生、港澳台侨学生、留学生的管理，参照本规定执行。</w:t>
      </w:r>
    </w:p>
    <w:p>
      <w:pPr>
        <w:pStyle w:val="14"/>
        <w:spacing w:line="301" w:lineRule="exact"/>
        <w:ind w:firstLine="420"/>
        <w:jc w:val="both"/>
        <w:rPr>
          <w:color w:val="auto"/>
        </w:rPr>
      </w:pPr>
      <w:r>
        <w:rPr>
          <w:b/>
          <w:bCs/>
          <w:color w:val="auto"/>
        </w:rPr>
        <w:t>第六十七条</w:t>
      </w:r>
      <w:r>
        <w:rPr>
          <w:color w:val="auto"/>
        </w:rPr>
        <w:t>学校应当根据本规定制定或修改学校的学生管理规定或者纪律处分规定，报主管教育行政部门备案（中央部委属校同时抄报所在地省级教育行政部门），并及时向学生公布。</w:t>
      </w:r>
    </w:p>
    <w:p>
      <w:pPr>
        <w:pStyle w:val="14"/>
        <w:spacing w:line="301" w:lineRule="exact"/>
        <w:ind w:firstLine="420"/>
        <w:jc w:val="both"/>
        <w:rPr>
          <w:color w:val="auto"/>
        </w:rPr>
      </w:pPr>
      <w:r>
        <w:rPr>
          <w:color w:val="auto"/>
        </w:rPr>
        <w:t>省级教育行政部门根据本规定，指导、检查和监督本地区高等学校的学生管理工作。</w:t>
      </w:r>
    </w:p>
    <w:p>
      <w:pPr>
        <w:pStyle w:val="14"/>
        <w:spacing w:after="340" w:line="301" w:lineRule="exact"/>
        <w:ind w:firstLine="420"/>
        <w:jc w:val="both"/>
        <w:rPr>
          <w:color w:val="auto"/>
        </w:rPr>
        <w:sectPr>
          <w:headerReference r:id="rId70" w:type="first"/>
          <w:footerReference r:id="rId73" w:type="first"/>
          <w:headerReference r:id="rId68" w:type="default"/>
          <w:footerReference r:id="rId71" w:type="default"/>
          <w:headerReference r:id="rId69" w:type="even"/>
          <w:footerReference r:id="rId72" w:type="even"/>
          <w:pgSz w:w="9800" w:h="15120"/>
          <w:pgMar w:top="1043" w:right="652" w:bottom="987" w:left="663" w:header="0" w:footer="3" w:gutter="0"/>
          <w:pgNumType w:fmt="decimal"/>
          <w:cols w:space="720" w:num="1"/>
          <w:titlePg/>
          <w:docGrid w:linePitch="360" w:charSpace="0"/>
        </w:sectPr>
      </w:pPr>
      <w:r>
        <w:rPr>
          <w:b/>
          <w:bCs/>
          <w:color w:val="auto"/>
        </w:rPr>
        <w:t>第六十八条</w:t>
      </w:r>
      <w:r>
        <w:rPr>
          <w:color w:val="auto"/>
        </w:rPr>
        <w:t>本规定自</w:t>
      </w:r>
      <w:r>
        <w:rPr>
          <w:rFonts w:ascii="Times New Roman" w:hAnsi="Times New Roman" w:eastAsia="Times New Roman" w:cs="Times New Roman"/>
          <w:color w:val="auto"/>
          <w:sz w:val="20"/>
          <w:szCs w:val="20"/>
        </w:rPr>
        <w:t>2017</w:t>
      </w:r>
      <w:r>
        <w:rPr>
          <w:color w:val="auto"/>
        </w:rPr>
        <w:t>年</w:t>
      </w:r>
      <w:r>
        <w:rPr>
          <w:rFonts w:ascii="Times New Roman" w:hAnsi="Times New Roman" w:eastAsia="Times New Roman" w:cs="Times New Roman"/>
          <w:color w:val="auto"/>
          <w:sz w:val="20"/>
          <w:szCs w:val="20"/>
        </w:rPr>
        <w:t>9</w:t>
      </w:r>
      <w:r>
        <w:rPr>
          <w:color w:val="auto"/>
        </w:rPr>
        <w:t>月</w:t>
      </w:r>
      <w:r>
        <w:rPr>
          <w:rFonts w:ascii="Times New Roman" w:hAnsi="Times New Roman" w:eastAsia="Times New Roman" w:cs="Times New Roman"/>
          <w:color w:val="auto"/>
          <w:sz w:val="20"/>
          <w:szCs w:val="20"/>
        </w:rPr>
        <w:t>1</w:t>
      </w:r>
      <w:r>
        <w:rPr>
          <w:color w:val="auto"/>
        </w:rPr>
        <w:t>日起施行。原《普通高等学校学生管理规定》（教育部令第</w:t>
      </w:r>
      <w:r>
        <w:rPr>
          <w:rFonts w:ascii="Times New Roman" w:hAnsi="Times New Roman" w:eastAsia="Times New Roman" w:cs="Times New Roman"/>
          <w:color w:val="auto"/>
          <w:sz w:val="20"/>
          <w:szCs w:val="20"/>
        </w:rPr>
        <w:t>21</w:t>
      </w:r>
      <w:r>
        <w:rPr>
          <w:color w:val="auto"/>
        </w:rPr>
        <w:t>号）同时废止。其他有关文件规定与本规定不一致的，以本规定为准。</w:t>
      </w:r>
    </w:p>
    <w:p>
      <w:pPr>
        <w:pStyle w:val="22"/>
        <w:spacing w:after="420"/>
        <w:jc w:val="both"/>
        <w:rPr>
          <w:color w:val="auto"/>
        </w:rPr>
      </w:pPr>
      <w:r>
        <w:rPr>
          <w:color w:val="auto"/>
        </w:rPr>
        <w:t>附录二:</w:t>
      </w:r>
    </w:p>
    <w:p>
      <w:pPr>
        <w:pStyle w:val="12"/>
        <w:keepNext/>
        <w:keepLines/>
        <w:spacing w:before="0" w:after="420" w:line="240" w:lineRule="auto"/>
        <w:rPr>
          <w:b/>
          <w:bCs/>
          <w:color w:val="auto"/>
        </w:rPr>
      </w:pPr>
      <w:bookmarkStart w:id="717" w:name="bookmark1176"/>
      <w:bookmarkStart w:id="718" w:name="bookmark1177"/>
      <w:bookmarkStart w:id="719" w:name="bookmark1178"/>
      <w:r>
        <w:rPr>
          <w:b/>
          <w:bCs/>
          <w:color w:val="auto"/>
        </w:rPr>
        <w:t>高等学校学生行为准则</w:t>
      </w:r>
      <w:bookmarkEnd w:id="717"/>
      <w:bookmarkEnd w:id="718"/>
      <w:bookmarkEnd w:id="719"/>
    </w:p>
    <w:p>
      <w:pPr>
        <w:pStyle w:val="14"/>
        <w:spacing w:line="301" w:lineRule="exact"/>
        <w:ind w:firstLine="420"/>
        <w:jc w:val="both"/>
        <w:rPr>
          <w:rFonts w:eastAsia="PMingLiU"/>
          <w:color w:val="auto"/>
        </w:rPr>
      </w:pPr>
      <w:r>
        <w:rPr>
          <w:color w:val="auto"/>
        </w:rPr>
        <w:t>一、志存高远，坚定信念。努力学习马克思列宁主义、毛泽东思想、邓小平理论和</w:t>
      </w:r>
      <w:r>
        <w:rPr>
          <w:color w:val="auto"/>
          <w:lang w:val="zh-CN" w:eastAsia="zh-CN" w:bidi="zh-CN"/>
        </w:rPr>
        <w:t>“三</w:t>
      </w:r>
      <w:r>
        <w:rPr>
          <w:color w:val="auto"/>
        </w:rPr>
        <w:t>个代表”重要思想，面向世界，了解国情，确立在中国共产党领导下走社会主义道路、实现中华民族伟大复兴的共同理想和坚定信念，努力成为有理想、有道德、有文化、有纪律的社会主义新人。</w:t>
      </w:r>
    </w:p>
    <w:p>
      <w:pPr>
        <w:pStyle w:val="14"/>
        <w:spacing w:line="301" w:lineRule="exact"/>
        <w:ind w:firstLine="420"/>
        <w:jc w:val="both"/>
        <w:rPr>
          <w:color w:val="auto"/>
        </w:rPr>
      </w:pPr>
      <w:r>
        <w:rPr>
          <w:color w:val="auto"/>
        </w:rPr>
        <w:t>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pStyle w:val="14"/>
        <w:spacing w:line="301" w:lineRule="exact"/>
        <w:ind w:firstLine="420"/>
        <w:jc w:val="both"/>
        <w:rPr>
          <w:color w:val="auto"/>
        </w:rPr>
      </w:pPr>
      <w:bookmarkStart w:id="720" w:name="bookmark1179"/>
      <w:r>
        <w:rPr>
          <w:color w:val="auto"/>
        </w:rPr>
        <w:t>三</w:t>
      </w:r>
      <w:bookmarkEnd w:id="720"/>
      <w:r>
        <w:rPr>
          <w:color w:val="auto"/>
        </w:rPr>
        <w:t>、勤奋学习，自强不息。追求真理，崇尚科学</w:t>
      </w:r>
      <w:r>
        <w:rPr>
          <w:rFonts w:hint="eastAsia"/>
          <w:color w:val="auto"/>
        </w:rPr>
        <w:t>；</w:t>
      </w:r>
      <w:r>
        <w:rPr>
          <w:color w:val="auto"/>
        </w:rPr>
        <w:t>刻苦钻研，严谨求实</w:t>
      </w:r>
      <w:r>
        <w:rPr>
          <w:rFonts w:hint="eastAsia"/>
          <w:color w:val="auto"/>
        </w:rPr>
        <w:t>；</w:t>
      </w:r>
      <w:r>
        <w:rPr>
          <w:color w:val="auto"/>
        </w:rPr>
        <w:t>积极实践，勇于创新</w:t>
      </w:r>
      <w:r>
        <w:rPr>
          <w:rFonts w:hint="eastAsia"/>
          <w:color w:val="auto"/>
        </w:rPr>
        <w:t>；</w:t>
      </w:r>
      <w:r>
        <w:rPr>
          <w:color w:val="auto"/>
        </w:rPr>
        <w:t>珍惜时间，学业有成。</w:t>
      </w:r>
    </w:p>
    <w:p>
      <w:pPr>
        <w:pStyle w:val="14"/>
        <w:spacing w:line="301" w:lineRule="exact"/>
        <w:ind w:firstLine="420"/>
        <w:jc w:val="both"/>
        <w:rPr>
          <w:color w:val="auto"/>
        </w:rPr>
      </w:pPr>
      <w:bookmarkStart w:id="721" w:name="bookmark1180"/>
      <w:r>
        <w:rPr>
          <w:color w:val="auto"/>
        </w:rPr>
        <w:t>四</w:t>
      </w:r>
      <w:bookmarkEnd w:id="721"/>
      <w:r>
        <w:rPr>
          <w:color w:val="auto"/>
        </w:rPr>
        <w:t>、遵纪守法，弘扬正气。遵守宪法、法律法规，遵守校纪校规；正确行使权利，依法履行义务；敬廉崇洁，公道正派；敢于并善于同各种违法违纪行为作斗争。</w:t>
      </w:r>
    </w:p>
    <w:p>
      <w:pPr>
        <w:pStyle w:val="14"/>
        <w:spacing w:line="301" w:lineRule="exact"/>
        <w:ind w:firstLine="420"/>
        <w:jc w:val="both"/>
        <w:rPr>
          <w:color w:val="auto"/>
        </w:rPr>
      </w:pPr>
      <w:bookmarkStart w:id="722" w:name="bookmark1181"/>
      <w:r>
        <w:rPr>
          <w:color w:val="auto"/>
        </w:rPr>
        <w:t>五</w:t>
      </w:r>
      <w:bookmarkEnd w:id="722"/>
      <w:r>
        <w:rPr>
          <w:color w:val="auto"/>
        </w:rPr>
        <w:t>、诚实守信，严于律己。履约践诺，知行统一；遵从学术规范，恪守学术道德，不作弊，不剽窃；自尊自爱，自省自律；文明使用互联网；自觉抵制黄、赌、毒等不良诱惑。</w:t>
      </w:r>
    </w:p>
    <w:p>
      <w:pPr>
        <w:pStyle w:val="14"/>
        <w:spacing w:line="301" w:lineRule="exact"/>
        <w:ind w:firstLine="420"/>
        <w:jc w:val="both"/>
        <w:rPr>
          <w:color w:val="auto"/>
        </w:rPr>
      </w:pPr>
      <w:bookmarkStart w:id="723" w:name="bookmark1182"/>
      <w:r>
        <w:rPr>
          <w:color w:val="auto"/>
        </w:rPr>
        <w:t>六</w:t>
      </w:r>
      <w:bookmarkEnd w:id="723"/>
      <w:r>
        <w:rPr>
          <w:color w:val="auto"/>
        </w:rPr>
        <w:t>、明礼修身，团结友爱。弘扬传统美德，遵守社会公德，男女交往文明；关心集体，爱护公物，热心公益；尊敬师长，友爱同学，团结合作；仪表整洁，待人礼貌；豁达宽容，积极向上。</w:t>
      </w:r>
    </w:p>
    <w:p>
      <w:pPr>
        <w:pStyle w:val="14"/>
        <w:spacing w:line="301" w:lineRule="exact"/>
        <w:ind w:firstLine="420"/>
        <w:jc w:val="both"/>
        <w:rPr>
          <w:color w:val="auto"/>
        </w:rPr>
      </w:pPr>
      <w:bookmarkStart w:id="724" w:name="bookmark1183"/>
      <w:r>
        <w:rPr>
          <w:color w:val="auto"/>
        </w:rPr>
        <w:t>七</w:t>
      </w:r>
      <w:bookmarkEnd w:id="724"/>
      <w:r>
        <w:rPr>
          <w:color w:val="auto"/>
        </w:rPr>
        <w:t>、勤俭节约，艰苦奋斗。热爱劳动，珍惜他人和社会劳动成果；生活俭朴，杜绝浪费；不追求超越自身和家庭实际的物质享受。</w:t>
      </w:r>
    </w:p>
    <w:p>
      <w:pPr>
        <w:pStyle w:val="14"/>
        <w:spacing w:after="200" w:line="301" w:lineRule="exact"/>
        <w:ind w:firstLine="420"/>
        <w:jc w:val="both"/>
        <w:rPr>
          <w:color w:val="auto"/>
        </w:rPr>
        <w:sectPr>
          <w:pgSz w:w="9800" w:h="15120"/>
          <w:pgMar w:top="1043" w:right="652" w:bottom="987" w:left="663" w:header="0" w:footer="3" w:gutter="0"/>
          <w:pgNumType w:fmt="decimal"/>
          <w:cols w:space="720" w:num="1"/>
          <w:docGrid w:linePitch="360" w:charSpace="0"/>
        </w:sectPr>
      </w:pPr>
      <w:bookmarkStart w:id="725" w:name="bookmark1184"/>
      <w:r>
        <w:rPr>
          <w:color w:val="auto"/>
        </w:rPr>
        <w:t>八</w:t>
      </w:r>
      <w:bookmarkEnd w:id="725"/>
      <w:r>
        <w:rPr>
          <w:color w:val="auto"/>
        </w:rPr>
        <w:t>、强健体魄，热爱生活。积极参加文体活动，提高身体素质，保持心理健康；磨砺意志，不怕挫折，提高适应能力；增强安全意识，防止意外事故；关爱自然，爱护环境，珍惜资源。</w:t>
      </w:r>
    </w:p>
    <w:p>
      <w:pPr>
        <w:pStyle w:val="22"/>
        <w:spacing w:after="500"/>
        <w:jc w:val="both"/>
        <w:rPr>
          <w:color w:val="auto"/>
        </w:rPr>
      </w:pPr>
      <w:r>
        <w:rPr>
          <w:color w:val="auto"/>
        </w:rPr>
        <w:t>附录三:</w:t>
      </w:r>
    </w:p>
    <w:p>
      <w:pPr>
        <w:pStyle w:val="12"/>
        <w:keepNext/>
        <w:keepLines/>
        <w:spacing w:before="0" w:after="380" w:line="240" w:lineRule="auto"/>
        <w:rPr>
          <w:b/>
          <w:bCs/>
          <w:color w:val="auto"/>
        </w:rPr>
      </w:pPr>
      <w:bookmarkStart w:id="726" w:name="bookmark1187"/>
      <w:bookmarkStart w:id="727" w:name="bookmark1185"/>
      <w:bookmarkStart w:id="728" w:name="bookmark1186"/>
      <w:r>
        <w:rPr>
          <w:b/>
          <w:bCs/>
          <w:color w:val="auto"/>
        </w:rPr>
        <w:t>高等学校校园秩序管理若干规定</w:t>
      </w:r>
      <w:bookmarkEnd w:id="726"/>
      <w:bookmarkEnd w:id="727"/>
      <w:bookmarkEnd w:id="728"/>
    </w:p>
    <w:p>
      <w:pPr>
        <w:pStyle w:val="14"/>
        <w:spacing w:line="301" w:lineRule="exact"/>
        <w:ind w:firstLine="420"/>
        <w:jc w:val="both"/>
        <w:rPr>
          <w:color w:val="auto"/>
        </w:rPr>
      </w:pPr>
      <w:r>
        <w:rPr>
          <w:b/>
          <w:bCs/>
          <w:color w:val="auto"/>
        </w:rPr>
        <w:t>第一条</w:t>
      </w:r>
      <w:r>
        <w:rPr>
          <w:color w:val="auto"/>
        </w:rPr>
        <w:t>为了优化育人环境，加强高等学校校园管理，维护教学、科研、生活秩序和安定团结的局面，建立有利于培养社会主义现代化建设专门人才的校园秩序，特制定本规定。</w:t>
      </w:r>
    </w:p>
    <w:p>
      <w:pPr>
        <w:pStyle w:val="14"/>
        <w:spacing w:line="301" w:lineRule="exact"/>
        <w:ind w:firstLine="420"/>
        <w:jc w:val="both"/>
        <w:rPr>
          <w:color w:val="auto"/>
        </w:rPr>
      </w:pPr>
      <w:r>
        <w:rPr>
          <w:b/>
          <w:bCs/>
          <w:color w:val="auto"/>
        </w:rPr>
        <w:t>第二条</w:t>
      </w:r>
      <w:r>
        <w:rPr>
          <w:color w:val="auto"/>
        </w:rPr>
        <w:t>本规定所称的高等学校（以下简称</w:t>
      </w:r>
      <w:r>
        <w:rPr>
          <w:color w:val="auto"/>
          <w:lang w:val="zh-CN" w:eastAsia="zh-CN" w:bidi="zh-CN"/>
        </w:rPr>
        <w:t>“学</w:t>
      </w:r>
      <w:r>
        <w:rPr>
          <w:color w:val="auto"/>
        </w:rPr>
        <w:t>校”）是指全日制普通高等学校和成人高等学校。</w:t>
      </w:r>
    </w:p>
    <w:p>
      <w:pPr>
        <w:pStyle w:val="14"/>
        <w:spacing w:line="301" w:lineRule="exact"/>
        <w:ind w:firstLine="420"/>
        <w:jc w:val="both"/>
        <w:rPr>
          <w:color w:val="auto"/>
        </w:rPr>
      </w:pPr>
      <w:r>
        <w:rPr>
          <w:color w:val="auto"/>
        </w:rPr>
        <w:t>本规定所称的师生员工是指学校的教师（包括外籍教师）、学生（包括外国在华留学生）、教育教学辅助人员、管理人员和工勤人员。</w:t>
      </w:r>
    </w:p>
    <w:p>
      <w:pPr>
        <w:pStyle w:val="14"/>
        <w:spacing w:line="301" w:lineRule="exact"/>
        <w:ind w:firstLine="420"/>
        <w:jc w:val="both"/>
        <w:rPr>
          <w:color w:val="auto"/>
        </w:rPr>
      </w:pPr>
      <w:r>
        <w:rPr>
          <w:b/>
          <w:bCs/>
          <w:color w:val="auto"/>
        </w:rPr>
        <w:t>第三条</w:t>
      </w:r>
      <w:r>
        <w:rPr>
          <w:color w:val="auto"/>
        </w:rPr>
        <w:t>学校的师生员工以及其他到学校活动的人员都应当遵守本规定，维护宪法确立的根本制度和国家利益，维护学校的教学、科研秩序和生活秩序。学校应当加强校园管理，采取措施，及时有效地预防和制止校园内的违反法律、法规、校规的活动。</w:t>
      </w:r>
    </w:p>
    <w:p>
      <w:pPr>
        <w:pStyle w:val="14"/>
        <w:spacing w:line="301" w:lineRule="exact"/>
        <w:ind w:firstLine="420"/>
        <w:jc w:val="both"/>
        <w:rPr>
          <w:color w:val="auto"/>
        </w:rPr>
      </w:pPr>
      <w:r>
        <w:rPr>
          <w:b/>
          <w:bCs/>
          <w:color w:val="auto"/>
        </w:rPr>
        <w:t>第四条</w:t>
      </w:r>
      <w:r>
        <w:rPr>
          <w:color w:val="auto"/>
        </w:rPr>
        <w:t>学校应当尊重和维护师生员工的人身权利、政治权利、教育和受教育的权利以及法律规定的其他权利，不得限制、剥夺师生员工的权利。</w:t>
      </w:r>
    </w:p>
    <w:p>
      <w:pPr>
        <w:pStyle w:val="14"/>
        <w:spacing w:line="301" w:lineRule="exact"/>
        <w:ind w:firstLine="420"/>
        <w:jc w:val="both"/>
        <w:rPr>
          <w:color w:val="auto"/>
        </w:rPr>
      </w:pPr>
      <w:r>
        <w:rPr>
          <w:b/>
          <w:bCs/>
          <w:color w:val="auto"/>
        </w:rPr>
        <w:t>第五条</w:t>
      </w:r>
      <w:r>
        <w:rPr>
          <w:color w:val="auto"/>
        </w:rPr>
        <w:t>进入学校的人员，必须持有本校的学生证、工作证、听课证或者学校颁发的其他进入学校的证章、证件。未持有前款规定的证章、证件的国内人员进入学校，应当向门卫登记后进入学校。</w:t>
      </w:r>
    </w:p>
    <w:p>
      <w:pPr>
        <w:pStyle w:val="14"/>
        <w:spacing w:line="301" w:lineRule="exact"/>
        <w:ind w:firstLine="420"/>
        <w:jc w:val="both"/>
        <w:rPr>
          <w:color w:val="auto"/>
        </w:rPr>
      </w:pPr>
      <w:r>
        <w:rPr>
          <w:b/>
          <w:bCs/>
          <w:color w:val="auto"/>
        </w:rPr>
        <w:t>第六条</w:t>
      </w:r>
      <w:r>
        <w:rPr>
          <w:color w:val="auto"/>
        </w:rPr>
        <w:t>国内新闻记者进入学校采访，必须持有记者证和采访介绍信，在通知学校有关机构后，方可进入学校采访。外国新闻记者和港澳台新闻记者进入学校采访，必须持有学校所在省、自治区、直辖市人民政府外事机关或港澳台办的介绍信和记者证，并在进校采访前与学校外事机构联系，经许可后方可进入学校采访。</w:t>
      </w:r>
    </w:p>
    <w:p>
      <w:pPr>
        <w:pStyle w:val="14"/>
        <w:spacing w:line="301" w:lineRule="exact"/>
        <w:ind w:firstLine="420"/>
        <w:jc w:val="both"/>
        <w:rPr>
          <w:color w:val="auto"/>
        </w:rPr>
      </w:pPr>
      <w:r>
        <w:rPr>
          <w:b/>
          <w:bCs/>
          <w:color w:val="auto"/>
        </w:rPr>
        <w:t>第七条</w:t>
      </w:r>
      <w:r>
        <w:rPr>
          <w:color w:val="auto"/>
        </w:rPr>
        <w:t>外国人、港澳台人员进入学校进行公务、业务活动，应当经过省、自治区、直辖市或者国务院有关部门同意并告知学校后，或按学术交流计划经学校主管领导研究同意后，方可进入学校。自行要求进入学校的外国人、港澳台人员，应当在学校外事机构或港澳台办批准后，方可进入学校。接受师生员工个人邀请进入学校探亲访友的外国人、港澳台人员，应当履行门卫登记手续后进入学校。</w:t>
      </w:r>
    </w:p>
    <w:p>
      <w:pPr>
        <w:pStyle w:val="14"/>
        <w:spacing w:line="301" w:lineRule="exact"/>
        <w:ind w:firstLine="420"/>
        <w:jc w:val="both"/>
        <w:rPr>
          <w:color w:val="auto"/>
        </w:rPr>
      </w:pPr>
      <w:r>
        <w:rPr>
          <w:b/>
          <w:bCs/>
          <w:color w:val="auto"/>
        </w:rPr>
        <w:t>第八条</w:t>
      </w:r>
      <w:r>
        <w:rPr>
          <w:color w:val="auto"/>
        </w:rPr>
        <w:t>依照本规定第五条、第六条、第七条的规定进入学校的人员，应当遵守法律、法规、规章和学校的制度，不得从事与其身份不符的活动，不得危害校园治安。对违反本规定第五条、第六条、第七条和本条前款规定的人员，师生员工有权向学校保卫机构报告，学校保卫机构可以要求其说明情况或者责令其离开学校。</w:t>
      </w:r>
    </w:p>
    <w:p>
      <w:pPr>
        <w:pStyle w:val="14"/>
        <w:spacing w:line="301" w:lineRule="exact"/>
        <w:ind w:firstLine="420"/>
        <w:jc w:val="both"/>
        <w:rPr>
          <w:color w:val="auto"/>
        </w:rPr>
      </w:pPr>
      <w:r>
        <w:rPr>
          <w:b/>
          <w:bCs/>
          <w:color w:val="auto"/>
        </w:rPr>
        <w:t>第九条</w:t>
      </w:r>
      <w:r>
        <w:rPr>
          <w:color w:val="auto"/>
        </w:rPr>
        <w:t>学生一般不得在学生宿舍留宿校外人员，遇有特殊情况留宿校外人员，应当报请学校有关机构许可，并且进行留宿登记，留宿人离校应注销登记。不得在学生宿舍内留宿异性。违反前款规定的，学校保卫机构可以责令留宿人离开学生宿舍。</w:t>
      </w:r>
    </w:p>
    <w:p>
      <w:pPr>
        <w:pStyle w:val="14"/>
        <w:spacing w:line="301" w:lineRule="exact"/>
        <w:ind w:firstLine="420"/>
        <w:jc w:val="both"/>
        <w:rPr>
          <w:color w:val="auto"/>
        </w:rPr>
      </w:pPr>
      <w:r>
        <w:rPr>
          <w:b/>
          <w:bCs/>
          <w:color w:val="auto"/>
        </w:rPr>
        <w:t>第十条</w:t>
      </w:r>
      <w:r>
        <w:rPr>
          <w:color w:val="auto"/>
        </w:rPr>
        <w:t>告示、通知、启事、广告等，应当张贴在学校指定或者许可的地点。散发宣传品、印刷品应当经过学校有关机构同意。对于张贴、散发反对我国宪法确立的根本制度、损害国家利益或者侮辱诽谤他人的公开张贴物、宣传品和印刷品的当事者，由司法机关依法追究其法律责任。</w:t>
      </w:r>
    </w:p>
    <w:p>
      <w:pPr>
        <w:pStyle w:val="14"/>
        <w:spacing w:line="301" w:lineRule="exact"/>
        <w:ind w:firstLine="420"/>
        <w:jc w:val="both"/>
        <w:rPr>
          <w:color w:val="auto"/>
        </w:rPr>
      </w:pPr>
      <w:r>
        <w:rPr>
          <w:b/>
          <w:bCs/>
          <w:color w:val="auto"/>
        </w:rPr>
        <w:t>第十一条</w:t>
      </w:r>
      <w:r>
        <w:rPr>
          <w:color w:val="auto"/>
        </w:rPr>
        <w:t>在校园设置临时或者永久建筑物以及安装音响、广播、电视设施，设置者、安装者应当报请学校有关机构审批，未经批准不得擅自设置、安装。师生员工或有关团体、组织使用学校的广播、电视设施，必须报请学校有关机构批准，禁止任何组织或者个人擅自使用学校广播、电视设施。在校内举行文化娱乐活动，不得干扰学校的教学、科研和生活秩序。违反第</w:t>
      </w:r>
      <w:r>
        <w:rPr>
          <w:color w:val="auto"/>
          <w:lang w:val="zh-CN" w:eastAsia="zh-CN" w:bidi="zh-CN"/>
        </w:rPr>
        <w:t>一款、</w:t>
      </w:r>
      <w:r>
        <w:rPr>
          <w:color w:val="auto"/>
        </w:rPr>
        <w:t>第二款、第三款规定的，学校有关机构可以劝其停止设置、安装或者停止活动，已经设置、安装的，学校有关机构可以拆除，或者责令设置者、安装者拆除。</w:t>
      </w:r>
    </w:p>
    <w:p>
      <w:pPr>
        <w:pStyle w:val="14"/>
        <w:spacing w:line="303" w:lineRule="exact"/>
        <w:ind w:firstLine="440"/>
        <w:jc w:val="both"/>
        <w:rPr>
          <w:color w:val="auto"/>
        </w:rPr>
      </w:pPr>
      <w:r>
        <w:rPr>
          <w:b/>
          <w:bCs/>
          <w:color w:val="auto"/>
        </w:rPr>
        <w:t>第十二条</w:t>
      </w:r>
      <w:r>
        <w:rPr>
          <w:color w:val="auto"/>
        </w:rPr>
        <w:t>在校内举行集会、讲演等公共活动，组织者必须在</w:t>
      </w:r>
      <w:r>
        <w:rPr>
          <w:rFonts w:ascii="Times New Roman" w:hAnsi="Times New Roman" w:eastAsia="Times New Roman" w:cs="Times New Roman"/>
          <w:color w:val="auto"/>
          <w:sz w:val="20"/>
          <w:szCs w:val="20"/>
        </w:rPr>
        <w:t>72</w:t>
      </w:r>
      <w:r>
        <w:rPr>
          <w:color w:val="auto"/>
        </w:rPr>
        <w:t>小时前向学校有关机构提出申请，申请中应当说明活动的目的、人数、时间、地点和负责人的姓名。学校有关机构应当至迟在举行时间的四小时前将许可或者不许可的决定通知组织者。逾期未通知的，视为许可。集会、讲演等应符合我国的教育方针和相应的法规、规章，不得反对我国宪法确立的根本制度，不得干扰学校的教学、科研和生活秩序，不得损害国家财产和其他公民的权利。</w:t>
      </w:r>
    </w:p>
    <w:p>
      <w:pPr>
        <w:pStyle w:val="14"/>
        <w:spacing w:line="303" w:lineRule="exact"/>
        <w:ind w:firstLine="440"/>
        <w:jc w:val="both"/>
        <w:rPr>
          <w:color w:val="auto"/>
        </w:rPr>
      </w:pPr>
      <w:r>
        <w:rPr>
          <w:b/>
          <w:bCs/>
          <w:color w:val="auto"/>
        </w:rPr>
        <w:t>第十三条</w:t>
      </w:r>
      <w:r>
        <w:rPr>
          <w:color w:val="auto"/>
        </w:rPr>
        <w:t>在校内组织讲座、报告等室内活动，组织者应当在</w:t>
      </w:r>
      <w:r>
        <w:rPr>
          <w:rFonts w:ascii="Times New Roman" w:hAnsi="Times New Roman" w:eastAsia="Times New Roman" w:cs="Times New Roman"/>
          <w:color w:val="auto"/>
          <w:sz w:val="20"/>
          <w:szCs w:val="20"/>
        </w:rPr>
        <w:t>72</w:t>
      </w:r>
      <w:r>
        <w:rPr>
          <w:color w:val="auto"/>
        </w:rPr>
        <w:t>小时前向学校有关机构提出申请，申请中应当说明活动的内容、报告人和负责人的姓名。学校有关机构应当至迟在举行时间的四小时前将许可或者不许可的决定通知组织者。逾期未通知的，视为许可。讲座、报告等不得反对我国宪法确立的根本制度，不得违反我国的教育方针，不得宣传封建迷信，不得进行宗教活动，不得干扰学校的教学、科研和生活秩序。</w:t>
      </w:r>
    </w:p>
    <w:p>
      <w:pPr>
        <w:pStyle w:val="14"/>
        <w:spacing w:line="303" w:lineRule="exact"/>
        <w:ind w:firstLine="440"/>
        <w:jc w:val="both"/>
        <w:rPr>
          <w:color w:val="auto"/>
        </w:rPr>
      </w:pPr>
      <w:r>
        <w:rPr>
          <w:b/>
          <w:bCs/>
          <w:color w:val="auto"/>
        </w:rPr>
        <w:t>第十四条</w:t>
      </w:r>
      <w:r>
        <w:rPr>
          <w:color w:val="auto"/>
        </w:rPr>
        <w:t>师生员工应当严格按照学校的安排进行教学、科研、生活和其他活动，任何人都不得破坏学校的教学、科研和生活秩序，不得阻止他人根据学校的安排进行教学、科研、生活和其他活动。禁止师生员工赌博、酗酒、打架斗殴以及其它干扰学校的教学科研和生活秩序的行为。</w:t>
      </w:r>
    </w:p>
    <w:p>
      <w:pPr>
        <w:pStyle w:val="14"/>
        <w:spacing w:line="303" w:lineRule="exact"/>
        <w:ind w:firstLine="440"/>
        <w:jc w:val="both"/>
        <w:rPr>
          <w:color w:val="auto"/>
        </w:rPr>
      </w:pPr>
      <w:r>
        <w:rPr>
          <w:b/>
          <w:bCs/>
          <w:color w:val="auto"/>
        </w:rPr>
        <w:t>第十五条</w:t>
      </w:r>
      <w:r>
        <w:rPr>
          <w:color w:val="auto"/>
        </w:rPr>
        <w:t>师生员工组织社会团体，应当按照《社会团体登记管理条例》的规定办理。成立校内非社会团体的组织，应当在成立前由其组织者报请学校有关机构批准，未经批准不得成立和开展活动。校内非社会团体的组织和校内报刊必须遵守法律、法规、规章，贯彻我国的教育方针和遵守学校的制度，接受学校的管理，不得进行超出其宗旨的活动。</w:t>
      </w:r>
    </w:p>
    <w:p>
      <w:pPr>
        <w:pStyle w:val="14"/>
        <w:spacing w:line="303" w:lineRule="exact"/>
        <w:ind w:firstLine="440"/>
        <w:jc w:val="both"/>
        <w:rPr>
          <w:color w:val="auto"/>
        </w:rPr>
      </w:pPr>
      <w:r>
        <w:rPr>
          <w:b/>
          <w:bCs/>
          <w:color w:val="auto"/>
        </w:rPr>
        <w:t>第十六条</w:t>
      </w:r>
      <w:r>
        <w:rPr>
          <w:color w:val="auto"/>
        </w:rPr>
        <w:t>违反本规定第十二条、第十三条、第十四条和第十五条的规定的，学校有关机构可以责令其组织者以及其他当事人立即停止活动。违反本规定第十二条第二款的规定，损害国家财产的，学校有关机构可以责令其赔偿损失。</w:t>
      </w:r>
    </w:p>
    <w:p>
      <w:pPr>
        <w:pStyle w:val="14"/>
        <w:spacing w:line="303" w:lineRule="exact"/>
        <w:ind w:firstLine="440"/>
        <w:jc w:val="both"/>
        <w:rPr>
          <w:color w:val="auto"/>
        </w:rPr>
      </w:pPr>
      <w:r>
        <w:rPr>
          <w:b/>
          <w:bCs/>
          <w:color w:val="auto"/>
        </w:rPr>
        <w:t>第十七条</w:t>
      </w:r>
      <w:r>
        <w:rPr>
          <w:color w:val="auto"/>
        </w:rPr>
        <w:t>禁止无照人员在校园内经商。设在校园内的商业网点必须在指定地点经营。违反前款规定的，学校有关机构可以责令其停止经商活动或者离开校园。</w:t>
      </w:r>
    </w:p>
    <w:p>
      <w:pPr>
        <w:pStyle w:val="14"/>
        <w:spacing w:line="303" w:lineRule="exact"/>
        <w:ind w:firstLine="440"/>
        <w:jc w:val="both"/>
        <w:rPr>
          <w:color w:val="auto"/>
        </w:rPr>
      </w:pPr>
      <w:r>
        <w:rPr>
          <w:b/>
          <w:bCs/>
          <w:color w:val="auto"/>
        </w:rPr>
        <w:t>第十八条</w:t>
      </w:r>
      <w:r>
        <w:rPr>
          <w:color w:val="auto"/>
        </w:rPr>
        <w:t>对违反本规定，经过劝告、制止仍不改正的师生员工，学校可视情节给予行政处分或者纪律处分；属于违反治安管理行为的，由公安机关依法处理；情节严重构成犯罪的，由司法机关处理。师生员工对学校的处分不服的，可以向有关教育行政部门提出申诉，教育行政部门应当在接到申诉的</w:t>
      </w:r>
      <w:r>
        <w:rPr>
          <w:rFonts w:ascii="Times New Roman" w:hAnsi="Times New Roman" w:eastAsia="Times New Roman" w:cs="Times New Roman"/>
          <w:color w:val="auto"/>
          <w:sz w:val="20"/>
          <w:szCs w:val="20"/>
        </w:rPr>
        <w:t>30</w:t>
      </w:r>
      <w:r>
        <w:rPr>
          <w:color w:val="auto"/>
        </w:rPr>
        <w:t>日内作出处理决定。对违反本规定，经劝告、制止仍不改正的校外人员，由公安、司法机关根据情节依法处理。</w:t>
      </w:r>
    </w:p>
    <w:p>
      <w:pPr>
        <w:pStyle w:val="14"/>
        <w:spacing w:line="303" w:lineRule="exact"/>
        <w:ind w:firstLine="440"/>
        <w:jc w:val="both"/>
        <w:rPr>
          <w:color w:val="auto"/>
        </w:rPr>
      </w:pPr>
      <w:r>
        <w:rPr>
          <w:b/>
          <w:bCs/>
          <w:color w:val="auto"/>
        </w:rPr>
        <w:t>第十九条</w:t>
      </w:r>
      <w:r>
        <w:rPr>
          <w:color w:val="auto"/>
        </w:rPr>
        <w:t>各高等学校可以根据本规定制定具体管理制度。</w:t>
      </w:r>
    </w:p>
    <w:p>
      <w:pPr>
        <w:pStyle w:val="14"/>
        <w:spacing w:line="303" w:lineRule="exact"/>
        <w:ind w:firstLine="440"/>
        <w:jc w:val="both"/>
        <w:rPr>
          <w:color w:val="auto"/>
        </w:rPr>
      </w:pPr>
      <w:r>
        <w:rPr>
          <w:b/>
          <w:bCs/>
          <w:color w:val="auto"/>
        </w:rPr>
        <w:t>第二十条</w:t>
      </w:r>
      <w:r>
        <w:rPr>
          <w:color w:val="auto"/>
        </w:rPr>
        <w:t>本规定自发布之日起施行。</w:t>
      </w:r>
    </w:p>
    <w:p>
      <w:pPr>
        <w:pStyle w:val="14"/>
        <w:spacing w:line="303" w:lineRule="exact"/>
        <w:ind w:firstLine="440"/>
        <w:jc w:val="both"/>
        <w:rPr>
          <w:color w:val="auto"/>
          <w:lang w:val="en-US" w:eastAsia="zh-CN" w:bidi="en-US"/>
        </w:rPr>
      </w:pPr>
      <w:r>
        <w:rPr>
          <w:color w:val="auto"/>
        </w:rPr>
        <w:t>［中华人民共和国国家教育委员会令第</w:t>
      </w:r>
      <w:r>
        <w:rPr>
          <w:rFonts w:ascii="Times New Roman" w:hAnsi="Times New Roman" w:eastAsia="Times New Roman" w:cs="Times New Roman"/>
          <w:color w:val="auto"/>
          <w:sz w:val="20"/>
          <w:szCs w:val="20"/>
        </w:rPr>
        <w:t>13</w:t>
      </w:r>
      <w:r>
        <w:rPr>
          <w:color w:val="auto"/>
        </w:rPr>
        <w:t>号（</w:t>
      </w:r>
      <w:r>
        <w:rPr>
          <w:rFonts w:ascii="Times New Roman" w:hAnsi="Times New Roman" w:eastAsia="Times New Roman" w:cs="Times New Roman"/>
          <w:color w:val="auto"/>
          <w:sz w:val="20"/>
          <w:szCs w:val="20"/>
        </w:rPr>
        <w:t>1990</w:t>
      </w:r>
      <w:r>
        <w:rPr>
          <w:rFonts w:hint="eastAsia"/>
          <w:color w:val="auto"/>
          <w:szCs w:val="20"/>
        </w:rPr>
        <w:t>）</w:t>
      </w:r>
      <w:r>
        <w:rPr>
          <w:color w:val="auto"/>
          <w:lang w:val="en-US" w:eastAsia="zh-CN" w:bidi="en-US"/>
        </w:rPr>
        <w:t>］</w:t>
      </w:r>
    </w:p>
    <w:p>
      <w:pPr>
        <w:rPr>
          <w:rFonts w:ascii="宋体" w:hAnsi="宋体"/>
          <w:color w:val="auto"/>
          <w:sz w:val="18"/>
          <w:lang w:eastAsia="zh-CN"/>
        </w:rPr>
      </w:pPr>
      <w:r>
        <w:rPr>
          <w:color w:val="auto"/>
          <w:lang w:eastAsia="zh-CN"/>
        </w:rPr>
        <w:br w:type="page"/>
      </w:r>
    </w:p>
    <w:p>
      <w:pPr>
        <w:pStyle w:val="22"/>
        <w:spacing w:after="840"/>
        <w:jc w:val="both"/>
        <w:rPr>
          <w:color w:val="auto"/>
        </w:rPr>
      </w:pPr>
      <w:r>
        <w:rPr>
          <w:color w:val="auto"/>
        </w:rPr>
        <w:t>附录四:</w:t>
      </w:r>
    </w:p>
    <w:p>
      <w:pPr>
        <w:pStyle w:val="12"/>
        <w:keepNext/>
        <w:keepLines/>
        <w:spacing w:before="0" w:after="460" w:line="240" w:lineRule="auto"/>
        <w:ind w:firstLine="420"/>
        <w:jc w:val="both"/>
        <w:rPr>
          <w:b/>
          <w:bCs/>
          <w:color w:val="auto"/>
        </w:rPr>
      </w:pPr>
      <w:bookmarkStart w:id="729" w:name="bookmark1189"/>
      <w:bookmarkStart w:id="730" w:name="bookmark1190"/>
      <w:bookmarkStart w:id="731" w:name="bookmark1188"/>
      <w:r>
        <w:rPr>
          <w:b/>
          <w:bCs/>
          <w:color w:val="auto"/>
        </w:rPr>
        <w:t>普通高等学校学生安全教育及管理暂行规定</w:t>
      </w:r>
      <w:bookmarkEnd w:id="729"/>
      <w:bookmarkEnd w:id="730"/>
      <w:bookmarkEnd w:id="731"/>
    </w:p>
    <w:p>
      <w:pPr>
        <w:pStyle w:val="18"/>
        <w:keepNext/>
        <w:keepLines/>
        <w:rPr>
          <w:b/>
          <w:bCs/>
          <w:color w:val="auto"/>
        </w:rPr>
      </w:pPr>
      <w:bookmarkStart w:id="732" w:name="bookmark1191"/>
      <w:bookmarkStart w:id="733" w:name="bookmark1193"/>
      <w:bookmarkStart w:id="734" w:name="bookmark1192"/>
      <w:r>
        <w:rPr>
          <w:b/>
          <w:bCs/>
          <w:color w:val="auto"/>
        </w:rPr>
        <w:t>第一章总则</w:t>
      </w:r>
      <w:bookmarkEnd w:id="732"/>
      <w:bookmarkEnd w:id="733"/>
      <w:bookmarkEnd w:id="734"/>
    </w:p>
    <w:p>
      <w:pPr>
        <w:pStyle w:val="14"/>
        <w:spacing w:line="303" w:lineRule="exact"/>
        <w:ind w:firstLine="440"/>
        <w:jc w:val="both"/>
        <w:rPr>
          <w:color w:val="auto"/>
        </w:rPr>
      </w:pPr>
      <w:r>
        <w:rPr>
          <w:b/>
          <w:bCs/>
          <w:color w:val="auto"/>
        </w:rPr>
        <w:t>第一条</w:t>
      </w:r>
      <w:r>
        <w:rPr>
          <w:color w:val="auto"/>
        </w:rPr>
        <w:t>为了加强高等学校管理，维护正常的教学和生活秩序，保障学生人身和财物的安全，促进身心健康发展，特制定本暂行规定。</w:t>
      </w:r>
    </w:p>
    <w:p>
      <w:pPr>
        <w:pStyle w:val="14"/>
        <w:spacing w:line="303" w:lineRule="exact"/>
        <w:ind w:firstLine="440"/>
        <w:jc w:val="both"/>
        <w:rPr>
          <w:color w:val="auto"/>
        </w:rPr>
      </w:pPr>
      <w:r>
        <w:rPr>
          <w:b/>
          <w:bCs/>
          <w:color w:val="auto"/>
        </w:rPr>
        <w:t>第二条</w:t>
      </w:r>
      <w:r>
        <w:rPr>
          <w:color w:val="auto"/>
        </w:rPr>
        <w:t>高等学校学生安全教育及管理的主要任务是，宣传、贯彻国家有关安全管理工作的方针、政策、法律、法规，对学生实施安全教育及管理，妥善处理各类安全事故，引导学生健康成长。</w:t>
      </w:r>
    </w:p>
    <w:p>
      <w:pPr>
        <w:pStyle w:val="14"/>
        <w:spacing w:line="303" w:lineRule="exact"/>
        <w:ind w:firstLine="440"/>
        <w:jc w:val="both"/>
        <w:rPr>
          <w:color w:val="auto"/>
        </w:rPr>
      </w:pPr>
      <w:r>
        <w:rPr>
          <w:b/>
          <w:bCs/>
          <w:color w:val="auto"/>
        </w:rPr>
        <w:t>第三条</w:t>
      </w:r>
      <w:r>
        <w:rPr>
          <w:color w:val="auto"/>
        </w:rPr>
        <w:t>高等学校学生安全教育及管理，要以预防为主，本着保护学生、教育先行、明确责任、教管结合、实事求是、妥善处理的原则，做好教育、管理和处理工作。</w:t>
      </w:r>
    </w:p>
    <w:p>
      <w:pPr>
        <w:pStyle w:val="14"/>
        <w:spacing w:after="400" w:line="303" w:lineRule="exact"/>
        <w:ind w:firstLine="440"/>
        <w:jc w:val="both"/>
        <w:rPr>
          <w:color w:val="auto"/>
        </w:rPr>
      </w:pPr>
      <w:r>
        <w:rPr>
          <w:b/>
          <w:bCs/>
          <w:color w:val="auto"/>
        </w:rPr>
        <w:t>第四条</w:t>
      </w:r>
      <w:r>
        <w:rPr>
          <w:color w:val="auto"/>
        </w:rPr>
        <w:t>本暂行规定所称学生指在普通高等学校学习取得学籍的全日制学生，即按国家任务、用人单位委托培养、自费三种计划形式录取的学生。</w:t>
      </w:r>
    </w:p>
    <w:p>
      <w:pPr>
        <w:pStyle w:val="18"/>
        <w:keepNext/>
        <w:keepLines/>
        <w:rPr>
          <w:b/>
          <w:bCs/>
          <w:color w:val="auto"/>
        </w:rPr>
      </w:pPr>
      <w:bookmarkStart w:id="735" w:name="bookmark1195"/>
      <w:bookmarkStart w:id="736" w:name="bookmark1196"/>
      <w:bookmarkStart w:id="737" w:name="bookmark1194"/>
      <w:r>
        <w:rPr>
          <w:b/>
          <w:bCs/>
          <w:color w:val="auto"/>
        </w:rPr>
        <w:t>第二章安全教育</w:t>
      </w:r>
      <w:bookmarkEnd w:id="735"/>
      <w:bookmarkEnd w:id="736"/>
      <w:bookmarkEnd w:id="737"/>
    </w:p>
    <w:p>
      <w:pPr>
        <w:pStyle w:val="14"/>
        <w:spacing w:line="302" w:lineRule="exact"/>
        <w:ind w:firstLine="440"/>
        <w:jc w:val="both"/>
        <w:rPr>
          <w:color w:val="auto"/>
        </w:rPr>
      </w:pPr>
      <w:r>
        <w:rPr>
          <w:b/>
          <w:bCs/>
          <w:color w:val="auto"/>
        </w:rPr>
        <w:t>第五条</w:t>
      </w:r>
      <w:r>
        <w:rPr>
          <w:color w:val="auto"/>
        </w:rPr>
        <w:t>高等学校应将对学生进行安全教育作为一项经常性工作，列入学校工作的重要议事日程，加强领导。学校各部门和有关群众团体或组织要相互配合，积极开展安全教育，普及安全知识，增强学生的安全意识和法制观念，提高防范能力。</w:t>
      </w:r>
    </w:p>
    <w:p>
      <w:pPr>
        <w:pStyle w:val="14"/>
        <w:spacing w:line="302" w:lineRule="exact"/>
        <w:ind w:firstLine="440"/>
        <w:jc w:val="both"/>
        <w:rPr>
          <w:color w:val="auto"/>
        </w:rPr>
      </w:pPr>
      <w:r>
        <w:rPr>
          <w:b/>
          <w:bCs/>
          <w:color w:val="auto"/>
        </w:rPr>
        <w:t>第六条</w:t>
      </w:r>
      <w:r>
        <w:rPr>
          <w:color w:val="auto"/>
        </w:rPr>
        <w:t>学生安全教育应根据不同专业及青年学生的特点，从学生入学到毕业，在各种教学活动和日常生活中，特别是节假日前适时进行，并善于利用发生的安全事故教育学生，防患于未然。学校应根据环境、季节及有关规律进行防盗、防火、防特、防病、事故等方面的教育，并使之经常化、制度化。</w:t>
      </w:r>
    </w:p>
    <w:p>
      <w:pPr>
        <w:pStyle w:val="14"/>
        <w:spacing w:after="400" w:line="302" w:lineRule="exact"/>
        <w:ind w:firstLine="440"/>
        <w:jc w:val="both"/>
        <w:rPr>
          <w:color w:val="auto"/>
        </w:rPr>
      </w:pPr>
      <w:r>
        <w:rPr>
          <w:b/>
          <w:bCs/>
          <w:color w:val="auto"/>
        </w:rPr>
        <w:t>第七条</w:t>
      </w:r>
      <w:r>
        <w:rPr>
          <w:color w:val="auto"/>
        </w:rPr>
        <w:t>高等学校对学生进行安全教育须注重心理疏导，加强思想政治工作，教育学生注意保持健康的心理状态，帮助学生克服因各种原因造成的心理障碍，把事故消除在萌芽状态。</w:t>
      </w:r>
    </w:p>
    <w:p>
      <w:pPr>
        <w:pStyle w:val="18"/>
        <w:keepNext/>
        <w:keepLines/>
        <w:rPr>
          <w:b/>
          <w:bCs/>
          <w:color w:val="auto"/>
        </w:rPr>
      </w:pPr>
      <w:bookmarkStart w:id="738" w:name="bookmark1197"/>
      <w:bookmarkStart w:id="739" w:name="bookmark1199"/>
      <w:bookmarkStart w:id="740" w:name="bookmark1198"/>
      <w:r>
        <w:rPr>
          <w:b/>
          <w:bCs/>
          <w:color w:val="auto"/>
        </w:rPr>
        <w:t>第三章安全管理</w:t>
      </w:r>
      <w:bookmarkEnd w:id="738"/>
      <w:bookmarkEnd w:id="739"/>
      <w:bookmarkEnd w:id="740"/>
    </w:p>
    <w:p>
      <w:pPr>
        <w:pStyle w:val="14"/>
        <w:spacing w:line="301" w:lineRule="exact"/>
        <w:ind w:firstLine="440"/>
        <w:jc w:val="both"/>
        <w:rPr>
          <w:color w:val="auto"/>
        </w:rPr>
      </w:pPr>
      <w:r>
        <w:rPr>
          <w:b/>
          <w:bCs/>
          <w:color w:val="auto"/>
        </w:rPr>
        <w:t>第八条</w:t>
      </w:r>
      <w:r>
        <w:rPr>
          <w:color w:val="auto"/>
        </w:rPr>
        <w:t>高等学校要做好学生日常安全管理工作，加强安全防范，建立和健全规章制度，严格管理。学校要把安全教育及管理工作纳入领导任期的责任目标，落实到年级、班主任。学校应由一名校领导主要负责。</w:t>
      </w:r>
    </w:p>
    <w:p>
      <w:pPr>
        <w:pStyle w:val="14"/>
        <w:spacing w:line="301" w:lineRule="exact"/>
        <w:ind w:firstLine="440"/>
        <w:jc w:val="both"/>
        <w:rPr>
          <w:color w:val="auto"/>
        </w:rPr>
      </w:pPr>
      <w:r>
        <w:rPr>
          <w:b/>
          <w:bCs/>
          <w:color w:val="auto"/>
        </w:rPr>
        <w:t>第九条</w:t>
      </w:r>
      <w:r>
        <w:rPr>
          <w:color w:val="auto"/>
        </w:rPr>
        <w:t>高等学校应确定学生安全教育及管理工作的主管部门，明确其职责，具体组织实施安全教育及其管理工作。各有关部门应分工协作，积极配合。</w:t>
      </w:r>
    </w:p>
    <w:p>
      <w:pPr>
        <w:pStyle w:val="14"/>
        <w:spacing w:line="301" w:lineRule="exact"/>
        <w:ind w:firstLine="440"/>
        <w:jc w:val="both"/>
        <w:rPr>
          <w:color w:val="auto"/>
        </w:rPr>
      </w:pPr>
      <w:r>
        <w:rPr>
          <w:b/>
          <w:bCs/>
          <w:color w:val="auto"/>
        </w:rPr>
        <w:t>第十条</w:t>
      </w:r>
      <w:r>
        <w:rPr>
          <w:color w:val="auto"/>
        </w:rPr>
        <w:t>全体教职工要从关心学生、爱护学生出发，树立安全思想，努力做好本职工作和改善环境与条件，保护学生人身和财产安全。</w:t>
      </w:r>
    </w:p>
    <w:p>
      <w:pPr>
        <w:pStyle w:val="14"/>
        <w:spacing w:line="301" w:lineRule="exact"/>
        <w:ind w:firstLine="440"/>
        <w:jc w:val="both"/>
        <w:rPr>
          <w:color w:val="auto"/>
        </w:rPr>
      </w:pPr>
      <w:r>
        <w:rPr>
          <w:b/>
          <w:bCs/>
          <w:color w:val="auto"/>
        </w:rPr>
        <w:t>第十一条</w:t>
      </w:r>
      <w:r>
        <w:rPr>
          <w:color w:val="auto"/>
        </w:rPr>
        <w:t>学生发生意外事故以及学生要求保护人身或财物安全等情况时，学校应迅速采取有效措施。</w:t>
      </w:r>
    </w:p>
    <w:p>
      <w:pPr>
        <w:pStyle w:val="14"/>
        <w:spacing w:line="306" w:lineRule="exact"/>
        <w:ind w:firstLine="420"/>
        <w:jc w:val="both"/>
        <w:rPr>
          <w:color w:val="auto"/>
        </w:rPr>
      </w:pPr>
      <w:r>
        <w:rPr>
          <w:b/>
          <w:bCs/>
          <w:color w:val="auto"/>
        </w:rPr>
        <w:t>第十二条</w:t>
      </w:r>
      <w:r>
        <w:rPr>
          <w:color w:val="auto"/>
        </w:rPr>
        <w:t>学生必须严格遵守国家法律、法规和学校的各项规章制度，注意自身的人身和财物安全，防止各种事故的发生。</w:t>
      </w:r>
    </w:p>
    <w:p>
      <w:pPr>
        <w:pStyle w:val="14"/>
        <w:spacing w:line="306" w:lineRule="exact"/>
        <w:ind w:left="420" w:firstLine="0"/>
        <w:jc w:val="both"/>
        <w:rPr>
          <w:color w:val="auto"/>
        </w:rPr>
      </w:pPr>
      <w:r>
        <w:rPr>
          <w:b/>
          <w:bCs/>
          <w:color w:val="auto"/>
        </w:rPr>
        <w:t>第十三条</w:t>
      </w:r>
      <w:r>
        <w:rPr>
          <w:color w:val="auto"/>
        </w:rPr>
        <w:t>学生在日常教学及各项活动中，应遵守纪律和有关规定，听从指导，服从管理</w:t>
      </w:r>
      <w:r>
        <w:rPr>
          <w:rFonts w:hint="eastAsia"/>
          <w:color w:val="auto"/>
        </w:rPr>
        <w:t>；</w:t>
      </w:r>
      <w:r>
        <w:rPr>
          <w:color w:val="auto"/>
        </w:rPr>
        <w:t>在公共场所</w:t>
      </w:r>
      <w:r>
        <w:rPr>
          <w:rFonts w:hint="eastAsia"/>
          <w:color w:val="auto"/>
        </w:rPr>
        <w:t>，</w:t>
      </w:r>
      <w:r>
        <w:rPr>
          <w:color w:val="auto"/>
        </w:rPr>
        <w:t>要遵守社会公德，增强安全防范意识，提高自我保护能力。</w:t>
      </w:r>
    </w:p>
    <w:p>
      <w:pPr>
        <w:pStyle w:val="14"/>
        <w:spacing w:line="306" w:lineRule="exact"/>
        <w:ind w:firstLine="420"/>
        <w:jc w:val="both"/>
        <w:rPr>
          <w:color w:val="auto"/>
        </w:rPr>
      </w:pPr>
      <w:r>
        <w:rPr>
          <w:b/>
          <w:bCs/>
          <w:color w:val="auto"/>
        </w:rPr>
        <w:t>第十四条</w:t>
      </w:r>
      <w:r>
        <w:rPr>
          <w:color w:val="auto"/>
        </w:rPr>
        <w:t>学生组织集体课外活动，须经学校同意，按学校规定进行。学校须认真进行安全审查，条件不具备时不得批准。</w:t>
      </w:r>
    </w:p>
    <w:p>
      <w:pPr>
        <w:pStyle w:val="14"/>
        <w:spacing w:line="306" w:lineRule="exact"/>
        <w:ind w:firstLine="420"/>
        <w:jc w:val="both"/>
        <w:rPr>
          <w:color w:val="auto"/>
        </w:rPr>
      </w:pPr>
      <w:r>
        <w:rPr>
          <w:b/>
          <w:bCs/>
          <w:color w:val="auto"/>
        </w:rPr>
        <w:t>第十五条</w:t>
      </w:r>
      <w:r>
        <w:rPr>
          <w:color w:val="auto"/>
        </w:rPr>
        <w:t>学生应严格遵守宿舍管理的规定，自觉维护宿舍的安全与卫生，提高自我管理能力。</w:t>
      </w:r>
    </w:p>
    <w:p>
      <w:pPr>
        <w:pStyle w:val="14"/>
        <w:spacing w:after="340" w:line="306" w:lineRule="exact"/>
        <w:ind w:firstLine="420"/>
        <w:jc w:val="both"/>
        <w:rPr>
          <w:color w:val="auto"/>
        </w:rPr>
      </w:pPr>
      <w:r>
        <w:rPr>
          <w:b/>
          <w:bCs/>
          <w:color w:val="auto"/>
        </w:rPr>
        <w:t>第十六条</w:t>
      </w:r>
      <w:r>
        <w:rPr>
          <w:color w:val="auto"/>
        </w:rPr>
        <w:t>发现刑事、治安案件或交通、灾害等事故，在场学生应保护现场，及时报告学校或公安部门并协助处理。在学校范围内的，学校应迅速采取措施，控制事态发展，减轻伤害和损失。</w:t>
      </w:r>
    </w:p>
    <w:p>
      <w:pPr>
        <w:pStyle w:val="18"/>
        <w:keepNext/>
        <w:keepLines/>
        <w:spacing w:after="340"/>
        <w:rPr>
          <w:b/>
          <w:bCs/>
          <w:color w:val="auto"/>
        </w:rPr>
      </w:pPr>
      <w:bookmarkStart w:id="741" w:name="bookmark1200"/>
      <w:bookmarkStart w:id="742" w:name="bookmark1201"/>
      <w:bookmarkStart w:id="743" w:name="bookmark1202"/>
      <w:r>
        <w:rPr>
          <w:b/>
          <w:bCs/>
          <w:color w:val="auto"/>
        </w:rPr>
        <w:t>第四章事故处理</w:t>
      </w:r>
      <w:bookmarkEnd w:id="741"/>
      <w:bookmarkEnd w:id="742"/>
      <w:bookmarkEnd w:id="743"/>
    </w:p>
    <w:p>
      <w:pPr>
        <w:pStyle w:val="14"/>
        <w:spacing w:line="302" w:lineRule="exact"/>
        <w:ind w:firstLine="420"/>
        <w:jc w:val="both"/>
        <w:rPr>
          <w:color w:val="auto"/>
        </w:rPr>
      </w:pPr>
      <w:r>
        <w:rPr>
          <w:b/>
          <w:bCs/>
          <w:color w:val="auto"/>
        </w:rPr>
        <w:t>第十七条</w:t>
      </w:r>
      <w:r>
        <w:rPr>
          <w:color w:val="auto"/>
        </w:rPr>
        <w:t>学生人身和财产发生一般伤害后，学校要及时调查处理，根据当事人或他人的过错，责令其赔偿损失，并给予批评教育或相应的行政、纪律处分。在校园内，发生学生非正常死亡、重伤或被窃、失火等造成财产重大损失事故后，学校应迅速采取措施进行抢救，保护现场，同时加强思想政治工作，稳定情绪，恢复秩序，并协同地方有关部门妥善处理。</w:t>
      </w:r>
    </w:p>
    <w:p>
      <w:pPr>
        <w:pStyle w:val="14"/>
        <w:spacing w:line="302" w:lineRule="exact"/>
        <w:ind w:firstLine="420"/>
        <w:jc w:val="both"/>
        <w:rPr>
          <w:color w:val="auto"/>
        </w:rPr>
      </w:pPr>
      <w:r>
        <w:rPr>
          <w:b/>
          <w:bCs/>
          <w:color w:val="auto"/>
        </w:rPr>
        <w:t>第十八条</w:t>
      </w:r>
      <w:r>
        <w:rPr>
          <w:color w:val="auto"/>
        </w:rPr>
        <w:t>学校对事故调查后认为涉及追究刑事责任的，要及时与公安部门联系，协助调查处理。重大事故学校有关领导应亲自参与调查工作，并认真研究调查报告，及时处理。</w:t>
      </w:r>
    </w:p>
    <w:p>
      <w:pPr>
        <w:pStyle w:val="14"/>
        <w:spacing w:line="302" w:lineRule="exact"/>
        <w:ind w:firstLine="420"/>
        <w:jc w:val="both"/>
        <w:rPr>
          <w:color w:val="auto"/>
        </w:rPr>
      </w:pPr>
      <w:r>
        <w:rPr>
          <w:b/>
          <w:bCs/>
          <w:color w:val="auto"/>
        </w:rPr>
        <w:t>第十九条</w:t>
      </w:r>
      <w:r>
        <w:rPr>
          <w:color w:val="auto"/>
        </w:rPr>
        <w:t>在安全管理或事故处理过程中，学校认为有必要需搜査学生住处，须报请公安部门依法进行。调查处理案件中要以事实为依据，不得逼供诱供。</w:t>
      </w:r>
    </w:p>
    <w:p>
      <w:pPr>
        <w:pStyle w:val="14"/>
        <w:spacing w:line="302" w:lineRule="exact"/>
        <w:ind w:firstLine="420"/>
        <w:jc w:val="both"/>
        <w:rPr>
          <w:color w:val="auto"/>
        </w:rPr>
      </w:pPr>
      <w:r>
        <w:rPr>
          <w:b/>
          <w:bCs/>
          <w:color w:val="auto"/>
        </w:rPr>
        <w:t>第二十条</w:t>
      </w:r>
      <w:r>
        <w:rPr>
          <w:color w:val="auto"/>
        </w:rPr>
        <w:t>重大事故发生后，学校应在一天内向所在省、直辖市、自治区有关主管部门报告。并及时通知学生家长。事故处理结束后一周内书面报告有关主管部门。</w:t>
      </w:r>
    </w:p>
    <w:p>
      <w:pPr>
        <w:pStyle w:val="14"/>
        <w:spacing w:line="309" w:lineRule="exact"/>
        <w:ind w:firstLine="420"/>
        <w:jc w:val="both"/>
        <w:rPr>
          <w:color w:val="auto"/>
        </w:rPr>
      </w:pPr>
      <w:r>
        <w:rPr>
          <w:b/>
          <w:bCs/>
          <w:color w:val="auto"/>
        </w:rPr>
        <w:t>第二十一条</w:t>
      </w:r>
      <w:r>
        <w:rPr>
          <w:color w:val="auto"/>
        </w:rPr>
        <w:t>学生在教学、实习过程与日常生活中，因学校或有关单位责任发生死亡、重伤或残疾，由学校或有关单位承担责任，做好处理及善后工作。在教学、实习过程与日常生活中，学生因不遵守纪律或不按要求活动而发生意外事故，学校不承担责任。</w:t>
      </w:r>
    </w:p>
    <w:p>
      <w:pPr>
        <w:pStyle w:val="14"/>
        <w:spacing w:line="309" w:lineRule="exact"/>
        <w:ind w:firstLine="420"/>
        <w:jc w:val="both"/>
        <w:rPr>
          <w:color w:val="auto"/>
        </w:rPr>
      </w:pPr>
      <w:r>
        <w:rPr>
          <w:b/>
          <w:bCs/>
          <w:color w:val="auto"/>
        </w:rPr>
        <w:t>第二十二条</w:t>
      </w:r>
      <w:r>
        <w:rPr>
          <w:color w:val="auto"/>
        </w:rPr>
        <w:t>因忽视安全生产、管理不善；工作不负责任，违章指挥；玩忽职守，徇私舞弊等对学生造成严重的人身、财物损害的，由其所在单位或上级主管部门，视具体情况对有关责任人员分别给予责令检查、赔偿损失、行政处分，直至依法追究刑事责任。</w:t>
      </w:r>
    </w:p>
    <w:p>
      <w:pPr>
        <w:pStyle w:val="14"/>
        <w:spacing w:line="309" w:lineRule="exact"/>
        <w:ind w:firstLine="420"/>
        <w:jc w:val="both"/>
        <w:rPr>
          <w:color w:val="auto"/>
        </w:rPr>
      </w:pPr>
      <w:r>
        <w:rPr>
          <w:b/>
          <w:bCs/>
          <w:color w:val="auto"/>
        </w:rPr>
        <w:t>第二十三条</w:t>
      </w:r>
      <w:r>
        <w:rPr>
          <w:color w:val="auto"/>
        </w:rPr>
        <w:t>学生未经批准擅自离校不归发生意外事故的，学校不承担责任。对擅自离校不归，学校不知去向的学生，学校应及时寻找并报告当地公安部门，及时通知学生家长。半月不归且未说明原因者，学校可张榜公布，按自动退学除名。</w:t>
      </w:r>
    </w:p>
    <w:p>
      <w:pPr>
        <w:pStyle w:val="14"/>
        <w:spacing w:line="294" w:lineRule="exact"/>
        <w:ind w:firstLine="420"/>
        <w:jc w:val="both"/>
        <w:rPr>
          <w:color w:val="auto"/>
        </w:rPr>
      </w:pPr>
      <w:r>
        <w:rPr>
          <w:b/>
          <w:bCs/>
          <w:color w:val="auto"/>
        </w:rPr>
        <w:t>第二十四条</w:t>
      </w:r>
      <w:r>
        <w:rPr>
          <w:color w:val="auto"/>
        </w:rPr>
        <w:t>学生假期或办理离校手续后发生意外事故的，学校不承担责任。</w:t>
      </w:r>
    </w:p>
    <w:p>
      <w:pPr>
        <w:pStyle w:val="14"/>
        <w:spacing w:line="294" w:lineRule="exact"/>
        <w:ind w:firstLine="420"/>
        <w:jc w:val="both"/>
        <w:rPr>
          <w:color w:val="auto"/>
        </w:rPr>
      </w:pPr>
      <w:r>
        <w:rPr>
          <w:b/>
          <w:bCs/>
          <w:color w:val="auto"/>
        </w:rPr>
        <w:t>第二十五条</w:t>
      </w:r>
      <w:r>
        <w:rPr>
          <w:color w:val="auto"/>
        </w:rPr>
        <w:t>在校内正常生活及由学校在校外组织的活动中，由于不能避免的原因或自然灾害而发生的事故，由学校视具体情况处理。</w:t>
      </w:r>
    </w:p>
    <w:p>
      <w:pPr>
        <w:pStyle w:val="14"/>
        <w:spacing w:line="294" w:lineRule="exact"/>
        <w:ind w:firstLine="420"/>
        <w:jc w:val="both"/>
        <w:rPr>
          <w:color w:val="auto"/>
        </w:rPr>
      </w:pPr>
      <w:r>
        <w:rPr>
          <w:b/>
          <w:bCs/>
          <w:color w:val="auto"/>
        </w:rPr>
        <w:t>第二十六条</w:t>
      </w:r>
      <w:r>
        <w:rPr>
          <w:color w:val="auto"/>
        </w:rPr>
        <w:t>有条件的高等学校可为学生办理人身保险。</w:t>
      </w:r>
    </w:p>
    <w:p>
      <w:pPr>
        <w:pStyle w:val="14"/>
        <w:spacing w:line="294" w:lineRule="exact"/>
        <w:ind w:firstLine="420"/>
        <w:jc w:val="both"/>
        <w:rPr>
          <w:color w:val="auto"/>
        </w:rPr>
      </w:pPr>
      <w:r>
        <w:rPr>
          <w:b/>
          <w:bCs/>
          <w:color w:val="auto"/>
        </w:rPr>
        <w:t>第二十七条</w:t>
      </w:r>
      <w:r>
        <w:rPr>
          <w:color w:val="auto"/>
        </w:rPr>
        <w:t>凡经学校指定的专业医院确诊为精神病、癫痫病患者的学生，应予退学，由其监护人负责领回。学生及其监护人不得无理纠缠，扰乱学校教学、生活秩序。</w:t>
      </w:r>
    </w:p>
    <w:p>
      <w:pPr>
        <w:pStyle w:val="14"/>
        <w:spacing w:line="294" w:lineRule="exact"/>
        <w:ind w:firstLine="420"/>
        <w:jc w:val="both"/>
        <w:rPr>
          <w:color w:val="auto"/>
        </w:rPr>
      </w:pPr>
      <w:r>
        <w:rPr>
          <w:b/>
          <w:bCs/>
          <w:color w:val="auto"/>
        </w:rPr>
        <w:t>第二十八条</w:t>
      </w:r>
      <w:r>
        <w:rPr>
          <w:color w:val="auto"/>
        </w:rPr>
        <w:t>因事故伤残的学生，经治疗后病情稳定，学校认为生活能自理，能坚持在校学习，可留校继续学习，不能坚持在校学习者，应予退学，由学校按其实际学习年限发给肄业证书，并根据事故性质和伤残程度一次性给予适当经济补助。退学学生回其监护人所在地，当地民政等有关部门应协助做好接收、落户等工作，由当地劳动部门按国家关于残疾人劳动就业有关规定安置。</w:t>
      </w:r>
    </w:p>
    <w:p>
      <w:pPr>
        <w:pStyle w:val="14"/>
        <w:spacing w:line="294" w:lineRule="exact"/>
        <w:ind w:firstLine="420"/>
        <w:jc w:val="both"/>
        <w:rPr>
          <w:color w:val="auto"/>
        </w:rPr>
      </w:pPr>
      <w:r>
        <w:rPr>
          <w:b/>
          <w:bCs/>
          <w:color w:val="auto"/>
        </w:rPr>
        <w:t>第二十九条</w:t>
      </w:r>
      <w:r>
        <w:rPr>
          <w:color w:val="auto"/>
        </w:rPr>
        <w:t>学生因病死亡和责任不由学校承担的意外死亡，学校不承担丧葬费。如家庭确困难者，学校可酌情予</w:t>
      </w:r>
      <w:r>
        <w:rPr>
          <w:color w:val="auto"/>
          <w:lang w:val="zh-CN" w:eastAsia="zh-CN" w:bidi="zh-CN"/>
        </w:rPr>
        <w:t>以一次</w:t>
      </w:r>
      <w:r>
        <w:rPr>
          <w:color w:val="auto"/>
        </w:rPr>
        <w:t>性经济补助。</w:t>
      </w:r>
    </w:p>
    <w:p>
      <w:pPr>
        <w:pStyle w:val="14"/>
        <w:spacing w:line="301" w:lineRule="exact"/>
        <w:ind w:firstLine="420"/>
        <w:jc w:val="both"/>
        <w:rPr>
          <w:color w:val="auto"/>
        </w:rPr>
      </w:pPr>
      <w:r>
        <w:rPr>
          <w:b/>
          <w:bCs/>
          <w:color w:val="auto"/>
        </w:rPr>
        <w:t>第三十条</w:t>
      </w:r>
      <w:r>
        <w:rPr>
          <w:color w:val="auto"/>
        </w:rPr>
        <w:t>因责任不在本人的意外死亡学生，由学校或有关单位参照国家关于事业职工死亡丧葬有关规定处理，负担丧葬费的全部，学校可一次性给予适当经济补助。无论何种情况（事故）给予的经济补助，一般不超过国家规定的学生在校期间（以四年计）的平均奖学金数。凡是事故责任由学校以外的其他单位、个人承担的，学校不再给予经济补助。</w:t>
      </w:r>
    </w:p>
    <w:p>
      <w:pPr>
        <w:pStyle w:val="14"/>
        <w:spacing w:line="301" w:lineRule="exact"/>
        <w:ind w:firstLine="420"/>
        <w:jc w:val="both"/>
        <w:rPr>
          <w:color w:val="auto"/>
        </w:rPr>
      </w:pPr>
      <w:r>
        <w:rPr>
          <w:b/>
          <w:bCs/>
          <w:color w:val="auto"/>
        </w:rPr>
        <w:t>第三十—条</w:t>
      </w:r>
      <w:r>
        <w:rPr>
          <w:color w:val="auto"/>
        </w:rPr>
        <w:t>因保护国家财产和他人人身安全，见义勇为而致残或英勇牺牲的学生，学校应报请所在省、自治区、直辖市人民政府授予荣誉称号，并给予相应的待遇。</w:t>
      </w:r>
    </w:p>
    <w:p>
      <w:pPr>
        <w:pStyle w:val="14"/>
        <w:spacing w:after="380" w:line="301" w:lineRule="exact"/>
        <w:ind w:firstLine="420"/>
        <w:jc w:val="both"/>
        <w:rPr>
          <w:color w:val="auto"/>
        </w:rPr>
      </w:pPr>
      <w:r>
        <w:rPr>
          <w:b/>
          <w:bCs/>
          <w:color w:val="auto"/>
        </w:rPr>
        <w:t>第三十二条</w:t>
      </w:r>
      <w:r>
        <w:rPr>
          <w:color w:val="auto"/>
        </w:rPr>
        <w:t>对事故处理不服或持有异议者，可向学校或学校上一级部门申诉，或者依法向人民法院提起民事诉讼。</w:t>
      </w:r>
    </w:p>
    <w:p>
      <w:pPr>
        <w:pStyle w:val="18"/>
        <w:keepNext/>
        <w:keepLines/>
        <w:rPr>
          <w:b/>
          <w:bCs/>
          <w:color w:val="auto"/>
        </w:rPr>
      </w:pPr>
      <w:bookmarkStart w:id="744" w:name="bookmark1204"/>
      <w:bookmarkStart w:id="745" w:name="bookmark1205"/>
      <w:bookmarkStart w:id="746" w:name="bookmark1203"/>
      <w:r>
        <w:rPr>
          <w:b/>
          <w:bCs/>
          <w:color w:val="auto"/>
        </w:rPr>
        <w:t>第五章附则</w:t>
      </w:r>
      <w:bookmarkEnd w:id="744"/>
      <w:bookmarkEnd w:id="745"/>
      <w:bookmarkEnd w:id="746"/>
    </w:p>
    <w:p>
      <w:pPr>
        <w:pStyle w:val="14"/>
        <w:spacing w:line="307" w:lineRule="exact"/>
        <w:ind w:firstLine="420"/>
        <w:jc w:val="both"/>
        <w:rPr>
          <w:color w:val="auto"/>
        </w:rPr>
      </w:pPr>
      <w:r>
        <w:rPr>
          <w:b/>
          <w:bCs/>
          <w:color w:val="auto"/>
        </w:rPr>
        <w:t>第三十三条</w:t>
      </w:r>
      <w:r>
        <w:rPr>
          <w:color w:val="auto"/>
        </w:rPr>
        <w:t>普通高等学校研究生事故处理，参照本办法执行。</w:t>
      </w:r>
    </w:p>
    <w:p>
      <w:pPr>
        <w:pStyle w:val="14"/>
        <w:spacing w:line="307" w:lineRule="exact"/>
        <w:ind w:firstLine="420"/>
        <w:jc w:val="both"/>
        <w:rPr>
          <w:color w:val="auto"/>
        </w:rPr>
      </w:pPr>
      <w:r>
        <w:rPr>
          <w:b/>
          <w:bCs/>
          <w:color w:val="auto"/>
        </w:rPr>
        <w:t>第三十四条</w:t>
      </w:r>
      <w:r>
        <w:rPr>
          <w:color w:val="auto"/>
        </w:rPr>
        <w:t>本暂行规定结合《普通高等学校学生管理规定》、《高等学校校园秩序管理若干规定》</w:t>
      </w:r>
    </w:p>
    <w:p>
      <w:pPr>
        <w:pStyle w:val="14"/>
        <w:spacing w:line="312" w:lineRule="exact"/>
        <w:ind w:firstLine="420"/>
        <w:jc w:val="both"/>
        <w:rPr>
          <w:color w:val="auto"/>
        </w:rPr>
      </w:pPr>
      <w:r>
        <w:rPr>
          <w:b/>
          <w:bCs/>
          <w:color w:val="auto"/>
        </w:rPr>
        <w:t>第三十五条</w:t>
      </w:r>
      <w:r>
        <w:rPr>
          <w:color w:val="auto"/>
        </w:rPr>
        <w:t>各省、自治区、直辖市教育行政部门和各高等学校可根据本暂行规定制定实施细则。</w:t>
      </w:r>
    </w:p>
    <w:p>
      <w:pPr>
        <w:pStyle w:val="14"/>
        <w:spacing w:line="301" w:lineRule="exact"/>
        <w:ind w:firstLine="420"/>
        <w:jc w:val="both"/>
        <w:rPr>
          <w:color w:val="auto"/>
        </w:rPr>
      </w:pPr>
      <w:r>
        <w:rPr>
          <w:b/>
          <w:bCs/>
          <w:color w:val="auto"/>
        </w:rPr>
        <w:t>第三十六条</w:t>
      </w:r>
      <w:r>
        <w:rPr>
          <w:color w:val="auto"/>
        </w:rPr>
        <w:t>本暂行规定由国家教育委员会解释。</w:t>
      </w:r>
    </w:p>
    <w:p>
      <w:pPr>
        <w:pStyle w:val="14"/>
        <w:spacing w:line="301" w:lineRule="exact"/>
        <w:ind w:firstLine="420"/>
        <w:jc w:val="both"/>
        <w:rPr>
          <w:color w:val="auto"/>
        </w:rPr>
      </w:pPr>
      <w:r>
        <w:rPr>
          <w:b/>
          <w:bCs/>
          <w:color w:val="auto"/>
        </w:rPr>
        <w:t>第三十七条</w:t>
      </w:r>
      <w:r>
        <w:rPr>
          <w:color w:val="auto"/>
        </w:rPr>
        <w:t>本暂行规定自发布之日起试行。</w:t>
      </w:r>
    </w:p>
    <w:p>
      <w:pPr>
        <w:pStyle w:val="14"/>
        <w:spacing w:after="300" w:line="301" w:lineRule="exact"/>
        <w:ind w:firstLine="420"/>
        <w:jc w:val="both"/>
        <w:rPr>
          <w:color w:val="auto"/>
        </w:rPr>
        <w:sectPr>
          <w:pgSz w:w="9800" w:h="15120"/>
          <w:pgMar w:top="1043" w:right="652" w:bottom="987" w:left="663" w:header="0" w:footer="3" w:gutter="0"/>
          <w:pgNumType w:fmt="decimal"/>
          <w:cols w:space="720" w:num="1"/>
          <w:docGrid w:linePitch="360" w:charSpace="0"/>
        </w:sectPr>
      </w:pPr>
      <w:r>
        <w:rPr>
          <w:color w:val="auto"/>
        </w:rPr>
        <w:t>（国家教委</w:t>
      </w:r>
      <w:r>
        <w:rPr>
          <w:rFonts w:ascii="Times New Roman" w:hAnsi="Times New Roman" w:eastAsia="Times New Roman" w:cs="Times New Roman"/>
          <w:color w:val="auto"/>
          <w:sz w:val="20"/>
          <w:szCs w:val="20"/>
        </w:rPr>
        <w:t>1992</w:t>
      </w:r>
      <w:r>
        <w:rPr>
          <w:color w:val="auto"/>
        </w:rPr>
        <w:t>年</w:t>
      </w:r>
      <w:r>
        <w:rPr>
          <w:rFonts w:ascii="Times New Roman" w:hAnsi="Times New Roman" w:eastAsia="Times New Roman" w:cs="Times New Roman"/>
          <w:color w:val="auto"/>
          <w:sz w:val="20"/>
          <w:szCs w:val="20"/>
        </w:rPr>
        <w:t>5</w:t>
      </w:r>
      <w:r>
        <w:rPr>
          <w:color w:val="auto"/>
        </w:rPr>
        <w:t>月</w:t>
      </w:r>
      <w:r>
        <w:rPr>
          <w:rFonts w:ascii="Times New Roman" w:hAnsi="Times New Roman" w:eastAsia="Times New Roman" w:cs="Times New Roman"/>
          <w:color w:val="auto"/>
          <w:sz w:val="20"/>
          <w:szCs w:val="20"/>
        </w:rPr>
        <w:t>26</w:t>
      </w:r>
      <w:r>
        <w:rPr>
          <w:color w:val="auto"/>
        </w:rPr>
        <w:t>日颁布）</w:t>
      </w:r>
    </w:p>
    <w:p>
      <w:pPr>
        <w:pStyle w:val="22"/>
        <w:spacing w:after="520"/>
        <w:ind w:firstLine="400"/>
        <w:jc w:val="both"/>
        <w:rPr>
          <w:color w:val="auto"/>
        </w:rPr>
      </w:pPr>
      <w:r>
        <w:rPr>
          <w:color w:val="auto"/>
        </w:rPr>
        <w:t>附录五:</w:t>
      </w:r>
    </w:p>
    <w:p>
      <w:pPr>
        <w:jc w:val="center"/>
        <w:rPr>
          <w:rFonts w:ascii="宋体" w:hAnsi="宋体"/>
          <w:b/>
          <w:bCs/>
          <w:color w:val="auto"/>
          <w:sz w:val="36"/>
          <w:szCs w:val="36"/>
          <w:lang w:eastAsia="zh-CN" w:bidi="zh-TW"/>
        </w:rPr>
      </w:pPr>
      <w:bookmarkStart w:id="747" w:name="bookmark1235"/>
      <w:r>
        <w:rPr>
          <w:rFonts w:hint="eastAsia" w:ascii="宋体" w:hAnsi="宋体"/>
          <w:b/>
          <w:bCs/>
          <w:color w:val="auto"/>
          <w:sz w:val="36"/>
          <w:szCs w:val="36"/>
          <w:lang w:eastAsia="zh-CN" w:bidi="zh-TW"/>
        </w:rPr>
        <w:t>大学生体质健康标准</w:t>
      </w:r>
    </w:p>
    <w:p>
      <w:pPr>
        <w:ind w:firstLine="723" w:firstLineChars="200"/>
        <w:jc w:val="both"/>
        <w:rPr>
          <w:rFonts w:ascii="宋体" w:hAnsi="宋体"/>
          <w:b/>
          <w:bCs/>
          <w:color w:val="auto"/>
          <w:sz w:val="36"/>
          <w:szCs w:val="36"/>
          <w:lang w:eastAsia="zh-CN" w:bidi="zh-TW"/>
        </w:rPr>
      </w:pPr>
    </w:p>
    <w:p>
      <w:p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一、为了贯彻德、智、体、劳全面发展的教育方针，鼓励学生经常最炼身体，不断增强体质提高自我保健能力和健康水平，成为社会主义现代化建设需要的合格人才。根据国务院《学校体育工作条例(2017)》（国务院令第676号）、教育部《普通高等学校学生管理规定(2017)》（教育部令第41号）、《国家学生体质健康标准》（教体艺[2014]5号）以及南京航空航天大学金城学院相关规章制度等规定的精神，制定本《标准》。</w:t>
      </w:r>
    </w:p>
    <w:p>
      <w:pPr>
        <w:spacing w:line="360" w:lineRule="auto"/>
        <w:jc w:val="both"/>
        <w:rPr>
          <w:rFonts w:ascii="宋体" w:hAnsi="宋体"/>
          <w:color w:val="auto"/>
          <w:sz w:val="18"/>
          <w:lang w:eastAsia="zh-CN" w:bidi="zh-TW"/>
        </w:rPr>
      </w:pPr>
      <w:r>
        <w:rPr>
          <w:rFonts w:hint="eastAsia" w:ascii="宋体" w:hAnsi="宋体"/>
          <w:color w:val="auto"/>
          <w:sz w:val="18"/>
          <w:lang w:eastAsia="zh-CN" w:bidi="zh-TW"/>
        </w:rPr>
        <w:t>本《标准》在全日制普通高等学校中实行，适用于有正式学籍的本、专科在校学生《不含体育专业学生)研究生或其它类型的高等学校学生可参照执行。</w:t>
      </w:r>
    </w:p>
    <w:p>
      <w:p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二、本《标准》从身体形态，身体机能、身体素质、视力状况等方面综合评定学生体质健康状况，《标准》按百分制计分。</w:t>
      </w:r>
    </w:p>
    <w:p>
      <w:pPr>
        <w:numPr>
          <w:ilvl w:val="0"/>
          <w:numId w:val="10"/>
        </w:num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全体学生必须参加每年度大学生体质健康测试。</w:t>
      </w:r>
    </w:p>
    <w:p>
      <w:pPr>
        <w:numPr>
          <w:ilvl w:val="0"/>
          <w:numId w:val="11"/>
        </w:num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测评要求:</w:t>
      </w:r>
    </w:p>
    <w:p>
      <w:pPr>
        <w:numPr>
          <w:ilvl w:val="0"/>
          <w:numId w:val="12"/>
        </w:num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各学院务必密切配合，做好组织和宣传工作，使每位同学都参加测试。</w:t>
      </w:r>
    </w:p>
    <w:p>
      <w:pPr>
        <w:numPr>
          <w:ilvl w:val="0"/>
          <w:numId w:val="12"/>
        </w:num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测试穿着运动鞋服，由任课教师统一做好准备活动。</w:t>
      </w:r>
    </w:p>
    <w:p>
      <w:pPr>
        <w:numPr>
          <w:ilvl w:val="0"/>
          <w:numId w:val="12"/>
        </w:num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随身携带学生证或身份证。</w:t>
      </w:r>
    </w:p>
    <w:p>
      <w:pPr>
        <w:numPr>
          <w:ilvl w:val="0"/>
          <w:numId w:val="12"/>
        </w:num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测试过程中要遵守秩序，听从安排，保持现场安静，切勿大声喧闹。</w:t>
      </w:r>
    </w:p>
    <w:p>
      <w:pPr>
        <w:numPr>
          <w:ilvl w:val="0"/>
          <w:numId w:val="12"/>
        </w:num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严禁替代测试或作弊，如跑步过程中抄近道、漏圈等。一经查实，取消测试成绩，并上报学校严肃处理。</w:t>
      </w:r>
    </w:p>
    <w:p>
      <w:pPr>
        <w:numPr>
          <w:ilvl w:val="0"/>
          <w:numId w:val="11"/>
        </w:num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测试项目：</w:t>
      </w:r>
    </w:p>
    <w:p>
      <w:pPr>
        <w:numPr>
          <w:ilvl w:val="0"/>
          <w:numId w:val="13"/>
        </w:numPr>
        <w:spacing w:line="360" w:lineRule="auto"/>
        <w:ind w:left="400" w:leftChars="200"/>
        <w:jc w:val="both"/>
        <w:rPr>
          <w:rFonts w:ascii="宋体" w:hAnsi="宋体"/>
          <w:color w:val="auto"/>
          <w:sz w:val="18"/>
          <w:lang w:eastAsia="zh-CN" w:bidi="zh-TW"/>
        </w:rPr>
      </w:pPr>
      <w:r>
        <w:rPr>
          <w:rFonts w:hint="eastAsia" w:ascii="宋体" w:hAnsi="宋体"/>
          <w:color w:val="auto"/>
          <w:sz w:val="18"/>
          <w:lang w:eastAsia="zh-CN" w:bidi="zh-TW"/>
        </w:rPr>
        <w:t>身高、体重</w:t>
      </w:r>
    </w:p>
    <w:p>
      <w:pPr>
        <w:numPr>
          <w:ilvl w:val="0"/>
          <w:numId w:val="13"/>
        </w:numPr>
        <w:spacing w:line="360" w:lineRule="auto"/>
        <w:ind w:left="400" w:leftChars="200"/>
        <w:jc w:val="both"/>
        <w:rPr>
          <w:rFonts w:ascii="宋体" w:hAnsi="宋体"/>
          <w:color w:val="auto"/>
          <w:sz w:val="18"/>
          <w:lang w:eastAsia="zh-CN" w:bidi="zh-TW"/>
        </w:rPr>
      </w:pPr>
      <w:r>
        <w:rPr>
          <w:rFonts w:hint="eastAsia" w:ascii="宋体" w:hAnsi="宋体"/>
          <w:color w:val="auto"/>
          <w:sz w:val="18"/>
          <w:lang w:eastAsia="zh-CN" w:bidi="zh-TW"/>
        </w:rPr>
        <w:t>肺括量</w:t>
      </w:r>
    </w:p>
    <w:p>
      <w:pPr>
        <w:numPr>
          <w:ilvl w:val="0"/>
          <w:numId w:val="13"/>
        </w:numPr>
        <w:spacing w:line="360" w:lineRule="auto"/>
        <w:ind w:left="400" w:leftChars="200"/>
        <w:jc w:val="both"/>
        <w:rPr>
          <w:rFonts w:ascii="宋体" w:hAnsi="宋体"/>
          <w:color w:val="auto"/>
          <w:sz w:val="18"/>
          <w:lang w:eastAsia="zh-CN" w:bidi="zh-TW"/>
        </w:rPr>
      </w:pPr>
      <w:r>
        <w:rPr>
          <w:rFonts w:hint="eastAsia" w:ascii="宋体" w:hAnsi="宋体"/>
          <w:color w:val="auto"/>
          <w:sz w:val="18"/>
          <w:lang w:eastAsia="zh-CN" w:bidi="zh-TW"/>
        </w:rPr>
        <w:t>50米</w:t>
      </w:r>
    </w:p>
    <w:p>
      <w:pPr>
        <w:numPr>
          <w:ilvl w:val="0"/>
          <w:numId w:val="13"/>
        </w:numPr>
        <w:spacing w:line="360" w:lineRule="auto"/>
        <w:ind w:left="400" w:leftChars="200"/>
        <w:jc w:val="both"/>
        <w:rPr>
          <w:rFonts w:ascii="宋体" w:hAnsi="宋体"/>
          <w:color w:val="auto"/>
          <w:sz w:val="18"/>
          <w:lang w:eastAsia="zh-CN" w:bidi="zh-TW"/>
        </w:rPr>
      </w:pPr>
      <w:r>
        <w:rPr>
          <w:rFonts w:hint="eastAsia" w:ascii="宋体" w:hAnsi="宋体"/>
          <w:color w:val="auto"/>
          <w:sz w:val="18"/>
          <w:lang w:eastAsia="zh-CN" w:bidi="zh-TW"/>
        </w:rPr>
        <w:t>坐位体前屈</w:t>
      </w:r>
    </w:p>
    <w:p>
      <w:pPr>
        <w:numPr>
          <w:ilvl w:val="0"/>
          <w:numId w:val="13"/>
        </w:numPr>
        <w:spacing w:line="360" w:lineRule="auto"/>
        <w:ind w:left="400" w:leftChars="200"/>
        <w:jc w:val="both"/>
        <w:rPr>
          <w:rFonts w:ascii="宋体" w:hAnsi="宋体"/>
          <w:color w:val="auto"/>
          <w:sz w:val="18"/>
          <w:lang w:eastAsia="zh-CN" w:bidi="zh-TW"/>
        </w:rPr>
      </w:pPr>
      <w:r>
        <w:rPr>
          <w:rFonts w:hint="eastAsia" w:ascii="宋体" w:hAnsi="宋体"/>
          <w:color w:val="auto"/>
          <w:sz w:val="18"/>
          <w:lang w:eastAsia="zh-CN" w:bidi="zh-TW"/>
        </w:rPr>
        <w:t>立定跳远</w:t>
      </w:r>
    </w:p>
    <w:p>
      <w:pPr>
        <w:numPr>
          <w:ilvl w:val="0"/>
          <w:numId w:val="13"/>
        </w:numPr>
        <w:spacing w:line="360" w:lineRule="auto"/>
        <w:ind w:left="400" w:leftChars="200"/>
        <w:jc w:val="both"/>
        <w:rPr>
          <w:rFonts w:ascii="宋体" w:hAnsi="宋体"/>
          <w:color w:val="auto"/>
          <w:sz w:val="18"/>
          <w:lang w:eastAsia="zh-CN" w:bidi="zh-TW"/>
        </w:rPr>
      </w:pPr>
      <w:r>
        <w:rPr>
          <w:rFonts w:hint="eastAsia" w:ascii="宋体" w:hAnsi="宋体"/>
          <w:color w:val="auto"/>
          <w:sz w:val="18"/>
          <w:lang w:eastAsia="zh-CN" w:bidi="zh-TW"/>
        </w:rPr>
        <w:t>引体向上（男生)、1分钟仰卧起坐（女）</w:t>
      </w:r>
    </w:p>
    <w:p>
      <w:pPr>
        <w:numPr>
          <w:ilvl w:val="0"/>
          <w:numId w:val="13"/>
        </w:numPr>
        <w:spacing w:line="360" w:lineRule="auto"/>
        <w:ind w:left="400" w:leftChars="200"/>
        <w:jc w:val="both"/>
        <w:rPr>
          <w:rFonts w:ascii="宋体" w:hAnsi="宋体"/>
          <w:color w:val="auto"/>
          <w:sz w:val="18"/>
          <w:lang w:eastAsia="zh-CN" w:bidi="zh-TW"/>
        </w:rPr>
      </w:pPr>
      <w:r>
        <w:rPr>
          <w:rFonts w:hint="eastAsia" w:ascii="宋体" w:hAnsi="宋体"/>
          <w:color w:val="auto"/>
          <w:sz w:val="18"/>
          <w:lang w:eastAsia="zh-CN" w:bidi="zh-TW"/>
        </w:rPr>
        <w:t>1000米（男生）、800米（女生）</w:t>
      </w:r>
    </w:p>
    <w:p>
      <w:pPr>
        <w:numPr>
          <w:ilvl w:val="0"/>
          <w:numId w:val="11"/>
        </w:numPr>
        <w:spacing w:line="360" w:lineRule="auto"/>
        <w:ind w:firstLine="360" w:firstLineChars="200"/>
        <w:jc w:val="both"/>
        <w:rPr>
          <w:rFonts w:ascii="宋体" w:hAnsi="宋体"/>
          <w:color w:val="auto"/>
          <w:sz w:val="18"/>
          <w:lang w:eastAsia="zh-CN" w:bidi="zh-TW"/>
        </w:rPr>
      </w:pPr>
      <w:r>
        <w:rPr>
          <w:rFonts w:hint="eastAsia" w:ascii="宋体" w:hAnsi="宋体"/>
          <w:color w:val="auto"/>
          <w:sz w:val="18"/>
          <w:lang w:eastAsia="zh-CN" w:bidi="zh-TW"/>
        </w:rPr>
        <w:t>评分标准：参考《国家学生体质健康标准》（教体艺[2014]5号）实施</w:t>
      </w:r>
    </w:p>
    <w:p>
      <w:pPr>
        <w:spacing w:line="360" w:lineRule="auto"/>
        <w:ind w:left="420"/>
        <w:jc w:val="both"/>
        <w:rPr>
          <w:rFonts w:hint="eastAsia" w:ascii="宋体" w:hAnsi="宋体"/>
          <w:color w:val="auto"/>
          <w:sz w:val="18"/>
          <w:lang w:eastAsia="zh-CN" w:bidi="zh-TW"/>
        </w:rPr>
      </w:pPr>
      <w:r>
        <w:rPr>
          <w:rFonts w:hint="eastAsia" w:ascii="宋体" w:hAnsi="宋体"/>
          <w:color w:val="auto"/>
          <w:sz w:val="18"/>
          <w:lang w:eastAsia="zh-CN" w:bidi="zh-TW"/>
        </w:rPr>
        <w:t>开设体制测定课的年级，学生体育成绩的评定办法：</w:t>
      </w:r>
    </w:p>
    <w:p>
      <w:pPr>
        <w:spacing w:line="360" w:lineRule="auto"/>
        <w:ind w:left="420"/>
        <w:jc w:val="both"/>
        <w:rPr>
          <w:rFonts w:hint="eastAsia" w:ascii="宋体" w:hAnsi="宋体"/>
          <w:color w:val="auto"/>
          <w:sz w:val="18"/>
          <w:lang w:eastAsia="zh-CN" w:bidi="zh-TW"/>
        </w:rPr>
      </w:pPr>
      <w:r>
        <w:rPr>
          <w:rFonts w:hint="eastAsia" w:ascii="宋体" w:hAnsi="宋体"/>
          <w:color w:val="auto"/>
          <w:sz w:val="18"/>
          <w:lang w:eastAsia="zh-CN" w:bidi="zh-TW"/>
        </w:rPr>
        <w:t>（二）属下列情况之一者奖励3至5分，不同项可累计加分</w:t>
      </w:r>
    </w:p>
    <w:p>
      <w:pPr>
        <w:spacing w:line="360" w:lineRule="auto"/>
        <w:ind w:left="420"/>
        <w:jc w:val="both"/>
        <w:rPr>
          <w:rFonts w:hint="eastAsia" w:ascii="宋体" w:hAnsi="宋体"/>
          <w:color w:val="auto"/>
          <w:sz w:val="18"/>
          <w:lang w:eastAsia="zh-CN" w:bidi="zh-TW"/>
        </w:rPr>
      </w:pPr>
      <w:r>
        <w:rPr>
          <w:rFonts w:hint="eastAsia" w:ascii="宋体" w:hAnsi="宋体"/>
          <w:color w:val="auto"/>
          <w:sz w:val="18"/>
          <w:lang w:eastAsia="zh-CN" w:bidi="zh-TW"/>
        </w:rPr>
        <w:t>(1) 《国家学生体质健康标准》达标成绩为优秀或获等级运动员称号者。</w:t>
      </w:r>
    </w:p>
    <w:p>
      <w:pPr>
        <w:spacing w:line="360" w:lineRule="auto"/>
        <w:ind w:left="420"/>
        <w:jc w:val="both"/>
        <w:rPr>
          <w:rFonts w:hint="eastAsia" w:ascii="宋体" w:hAnsi="宋体"/>
          <w:color w:val="auto"/>
          <w:sz w:val="18"/>
          <w:lang w:eastAsia="zh-CN" w:bidi="zh-TW"/>
        </w:rPr>
      </w:pPr>
      <w:r>
        <w:rPr>
          <w:rFonts w:hint="eastAsia" w:ascii="宋体" w:hAnsi="宋体"/>
          <w:color w:val="auto"/>
          <w:sz w:val="18"/>
          <w:lang w:eastAsia="zh-CN" w:bidi="zh-TW"/>
        </w:rPr>
        <w:t>(2) 参加学生体育比赛获优秀成绩者。</w:t>
      </w:r>
    </w:p>
    <w:p>
      <w:pPr>
        <w:spacing w:line="360" w:lineRule="auto"/>
        <w:ind w:left="420"/>
        <w:jc w:val="both"/>
        <w:rPr>
          <w:rFonts w:ascii="宋体" w:hAnsi="宋体"/>
          <w:color w:val="auto"/>
          <w:sz w:val="18"/>
          <w:lang w:eastAsia="zh-CN" w:bidi="zh-TW"/>
        </w:rPr>
      </w:pPr>
      <w:r>
        <w:rPr>
          <w:rFonts w:hint="eastAsia" w:ascii="宋体" w:hAnsi="宋体"/>
          <w:color w:val="auto"/>
          <w:sz w:val="18"/>
          <w:lang w:eastAsia="zh-CN" w:bidi="zh-TW"/>
        </w:rPr>
        <w:t>(3) 学生会和班级的体育干部，在组织各项体育活动中工作认真负责者。</w:t>
      </w:r>
    </w:p>
    <w:p>
      <w:pPr>
        <w:spacing w:line="360" w:lineRule="auto"/>
        <w:ind w:left="-44" w:leftChars="-22" w:firstLine="360" w:firstLineChars="200"/>
        <w:jc w:val="both"/>
        <w:rPr>
          <w:rFonts w:ascii="宋体" w:hAnsi="宋体"/>
          <w:color w:val="auto"/>
          <w:sz w:val="18"/>
          <w:lang w:eastAsia="zh-CN" w:bidi="zh-TW"/>
        </w:rPr>
      </w:pPr>
      <w:r>
        <w:rPr>
          <w:rFonts w:hint="eastAsia" w:ascii="宋体" w:hAnsi="宋体"/>
          <w:color w:val="auto"/>
          <w:sz w:val="18"/>
          <w:lang w:eastAsia="zh-CN" w:bidi="zh-TW"/>
        </w:rPr>
        <w:t>三、国家学生体质健康标准等级评定</w:t>
      </w:r>
    </w:p>
    <w:p>
      <w:pPr>
        <w:spacing w:line="360" w:lineRule="auto"/>
        <w:ind w:left="-44" w:leftChars="-22" w:firstLine="360" w:firstLineChars="200"/>
        <w:jc w:val="both"/>
        <w:rPr>
          <w:rFonts w:ascii="宋体" w:hAnsi="宋体"/>
          <w:color w:val="auto"/>
          <w:sz w:val="18"/>
          <w:lang w:eastAsia="zh-CN" w:bidi="zh-TW"/>
        </w:rPr>
      </w:pPr>
      <w:r>
        <w:rPr>
          <w:rFonts w:hint="eastAsia" w:ascii="宋体" w:hAnsi="宋体"/>
          <w:color w:val="auto"/>
          <w:sz w:val="18"/>
          <w:lang w:eastAsia="zh-CN" w:bidi="zh-TW"/>
        </w:rPr>
        <w:t>总分评定等级：90.0分及以上为优秀，80.0——89.9分为良好，60.0——79.9为及格，59.9分及以下为不及格。每学年评定一次成绩并记入《国家学生体质健康标准登记卡片》。测试成绩评定达到《标准》良好及以上者方可参与评优与评奖。学生毕业时，《标准》测试的成绩达不到50分者按结业或肄业处理。学生因病或残疾可向学校提交暂缓或免于执行《标准》的申请，经医疗单位证明，体育教学部门核准，可暂缓或免于执行《标准》。</w:t>
      </w:r>
    </w:p>
    <w:p>
      <w:pPr>
        <w:spacing w:line="360" w:lineRule="auto"/>
        <w:ind w:left="-44" w:leftChars="-22" w:firstLine="360" w:firstLineChars="200"/>
        <w:jc w:val="both"/>
        <w:rPr>
          <w:rFonts w:ascii="宋体" w:hAnsi="宋体"/>
          <w:color w:val="auto"/>
          <w:sz w:val="18"/>
          <w:lang w:eastAsia="zh-CN" w:bidi="zh-TW"/>
        </w:rPr>
      </w:pPr>
      <w:r>
        <w:rPr>
          <w:rFonts w:hint="eastAsia" w:ascii="宋体" w:hAnsi="宋体"/>
          <w:color w:val="auto"/>
          <w:sz w:val="18"/>
          <w:lang w:eastAsia="zh-CN" w:bidi="zh-TW"/>
        </w:rPr>
        <w:t>四、按教育部教体艺【2014】5号文件要求，《标准》测试数据经当地教育行政部门按要求审核后，通过“中国学生体质健康网”上传至“国家学生体质健康标准数据管理系统”。测试和数据上传时间由教育行政部门确定。本标准由教育部负责解释。</w:t>
      </w:r>
    </w:p>
    <w:p>
      <w:pPr>
        <w:spacing w:line="360" w:lineRule="auto"/>
        <w:ind w:left="-44" w:leftChars="-22" w:firstLine="360" w:firstLineChars="200"/>
        <w:jc w:val="both"/>
        <w:rPr>
          <w:color w:val="auto"/>
          <w:lang w:eastAsia="zh-CN"/>
        </w:rPr>
        <w:sectPr>
          <w:headerReference r:id="rId76" w:type="first"/>
          <w:footerReference r:id="rId79" w:type="first"/>
          <w:headerReference r:id="rId74" w:type="default"/>
          <w:footerReference r:id="rId77" w:type="default"/>
          <w:headerReference r:id="rId75" w:type="even"/>
          <w:footerReference r:id="rId78" w:type="even"/>
          <w:pgSz w:w="9800" w:h="15120"/>
          <w:pgMar w:top="1043" w:right="652" w:bottom="987" w:left="663" w:header="0" w:footer="3" w:gutter="0"/>
          <w:pgNumType w:fmt="decimal"/>
          <w:cols w:space="720" w:num="1"/>
          <w:titlePg/>
          <w:docGrid w:linePitch="360" w:charSpace="0"/>
        </w:sectPr>
      </w:pPr>
      <w:r>
        <w:rPr>
          <w:rFonts w:hint="eastAsia" w:ascii="宋体" w:hAnsi="宋体"/>
          <w:color w:val="auto"/>
          <w:sz w:val="18"/>
          <w:lang w:eastAsia="zh-CN" w:bidi="zh-TW"/>
        </w:rPr>
        <w:t>五、本《标准》解释权属国家教委</w:t>
      </w:r>
      <w:bookmarkEnd w:id="747"/>
      <w:r>
        <w:rPr>
          <w:color w:val="auto"/>
          <w:lang w:eastAsia="zh-CN"/>
        </w:rPr>
        <w:t>。</w:t>
      </w:r>
    </w:p>
    <w:p>
      <w:pPr>
        <w:pStyle w:val="18"/>
        <w:keepNext/>
        <w:keepLines/>
        <w:spacing w:after="400"/>
        <w:rPr>
          <w:color w:val="auto"/>
        </w:rPr>
      </w:pPr>
      <w:bookmarkStart w:id="748" w:name="bookmark1238"/>
      <w:bookmarkStart w:id="749" w:name="bookmark1236"/>
      <w:bookmarkStart w:id="750" w:name="bookmark1237"/>
      <w:r>
        <w:rPr>
          <w:color w:val="auto"/>
        </w:rPr>
        <w:t>学生事务办理指南</w:t>
      </w:r>
      <w:bookmarkEnd w:id="748"/>
      <w:bookmarkEnd w:id="749"/>
      <w:bookmarkEnd w:id="750"/>
    </w:p>
    <w:tbl>
      <w:tblPr>
        <w:tblStyle w:val="6"/>
        <w:tblW w:w="12469" w:type="dxa"/>
        <w:jc w:val="center"/>
        <w:tblLayout w:type="fixed"/>
        <w:tblCellMar>
          <w:top w:w="0" w:type="dxa"/>
          <w:left w:w="10" w:type="dxa"/>
          <w:bottom w:w="0" w:type="dxa"/>
          <w:right w:w="10" w:type="dxa"/>
        </w:tblCellMar>
      </w:tblPr>
      <w:tblGrid>
        <w:gridCol w:w="523"/>
        <w:gridCol w:w="1457"/>
        <w:gridCol w:w="6095"/>
        <w:gridCol w:w="1559"/>
        <w:gridCol w:w="1843"/>
        <w:gridCol w:w="992"/>
      </w:tblGrid>
      <w:tr>
        <w:tblPrEx>
          <w:tblCellMar>
            <w:top w:w="0" w:type="dxa"/>
            <w:left w:w="10" w:type="dxa"/>
            <w:bottom w:w="0" w:type="dxa"/>
            <w:right w:w="10" w:type="dxa"/>
          </w:tblCellMar>
        </w:tblPrEx>
        <w:trPr>
          <w:trHeight w:val="350" w:hRule="exact"/>
          <w:jc w:val="center"/>
        </w:trPr>
        <w:tc>
          <w:tcPr>
            <w:tcW w:w="523"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序号</w:t>
            </w:r>
          </w:p>
        </w:tc>
        <w:tc>
          <w:tcPr>
            <w:tcW w:w="1457"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事务</w:t>
            </w:r>
          </w:p>
        </w:tc>
        <w:tc>
          <w:tcPr>
            <w:tcW w:w="6095"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流程</w:t>
            </w:r>
          </w:p>
        </w:tc>
        <w:tc>
          <w:tcPr>
            <w:tcW w:w="1559"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相关部门</w:t>
            </w:r>
          </w:p>
        </w:tc>
        <w:tc>
          <w:tcPr>
            <w:tcW w:w="1843"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办理时间</w:t>
            </w:r>
          </w:p>
        </w:tc>
        <w:tc>
          <w:tcPr>
            <w:tcW w:w="992" w:type="dxa"/>
            <w:tcBorders>
              <w:top w:val="single" w:color="auto" w:sz="4" w:space="0"/>
              <w:left w:val="single" w:color="auto" w:sz="4" w:space="0"/>
              <w:right w:val="single" w:color="auto" w:sz="4" w:space="0"/>
            </w:tcBorders>
            <w:shd w:val="clear" w:color="auto" w:fill="FFFFFF"/>
            <w:vAlign w:val="bottom"/>
          </w:tcPr>
          <w:p>
            <w:pPr>
              <w:pStyle w:val="20"/>
              <w:spacing w:line="240" w:lineRule="auto"/>
              <w:ind w:firstLine="0"/>
              <w:jc w:val="center"/>
              <w:rPr>
                <w:color w:val="auto"/>
              </w:rPr>
            </w:pPr>
            <w:r>
              <w:rPr>
                <w:color w:val="auto"/>
              </w:rPr>
              <w:t>办理地点</w:t>
            </w:r>
          </w:p>
        </w:tc>
      </w:tr>
      <w:tr>
        <w:tblPrEx>
          <w:tblCellMar>
            <w:top w:w="0" w:type="dxa"/>
            <w:left w:w="10" w:type="dxa"/>
            <w:bottom w:w="0" w:type="dxa"/>
            <w:right w:w="10" w:type="dxa"/>
          </w:tblCellMar>
        </w:tblPrEx>
        <w:trPr>
          <w:trHeight w:val="604"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w:t>
            </w:r>
          </w:p>
        </w:tc>
        <w:tc>
          <w:tcPr>
            <w:tcW w:w="1457"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学费缴纳</w:t>
            </w:r>
          </w:p>
        </w:tc>
        <w:tc>
          <w:tcPr>
            <w:tcW w:w="6095" w:type="dxa"/>
            <w:tcBorders>
              <w:top w:val="single" w:color="auto" w:sz="4" w:space="0"/>
              <w:left w:val="single" w:color="auto" w:sz="4" w:space="0"/>
            </w:tcBorders>
            <w:shd w:val="clear" w:color="auto" w:fill="FFFFFF"/>
          </w:tcPr>
          <w:p>
            <w:pPr>
              <w:pStyle w:val="20"/>
              <w:spacing w:line="298" w:lineRule="exact"/>
              <w:ind w:firstLine="0"/>
              <w:jc w:val="both"/>
              <w:rPr>
                <w:rFonts w:eastAsia="PMingLiU"/>
                <w:color w:val="auto"/>
              </w:rPr>
            </w:pPr>
            <w:r>
              <w:rPr>
                <w:color w:val="auto"/>
              </w:rPr>
              <w:t>每学年开学前</w:t>
            </w:r>
            <w:r>
              <w:rPr>
                <w:rFonts w:ascii="Times New Roman" w:hAnsi="Times New Roman"/>
                <w:color w:val="auto"/>
                <w:sz w:val="20"/>
                <w:szCs w:val="17"/>
              </w:rPr>
              <w:t>15</w:t>
            </w:r>
            <w:r>
              <w:rPr>
                <w:color w:val="auto"/>
              </w:rPr>
              <w:t>天存入学校所发银行卡内</w:t>
            </w:r>
            <w:r>
              <w:rPr>
                <w:rFonts w:hint="eastAsia"/>
                <w:color w:val="auto"/>
              </w:rPr>
              <w:t>→</w:t>
            </w:r>
            <w:r>
              <w:rPr>
                <w:color w:val="auto"/>
              </w:rPr>
              <w:t>报到当日在事务服务大厅确认办理</w:t>
            </w:r>
          </w:p>
        </w:tc>
        <w:tc>
          <w:tcPr>
            <w:tcW w:w="1559"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财务处</w:t>
            </w:r>
          </w:p>
        </w:tc>
        <w:tc>
          <w:tcPr>
            <w:tcW w:w="184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每学年报到当天</w:t>
            </w:r>
          </w:p>
        </w:tc>
        <w:tc>
          <w:tcPr>
            <w:tcW w:w="992" w:type="dxa"/>
            <w:vMerge w:val="restart"/>
            <w:tcBorders>
              <w:top w:val="single" w:color="auto" w:sz="4" w:space="0"/>
              <w:left w:val="single" w:color="auto" w:sz="4" w:space="0"/>
              <w:right w:val="single" w:color="auto" w:sz="4" w:space="0"/>
            </w:tcBorders>
            <w:shd w:val="clear" w:color="auto" w:fill="FFFFFF"/>
            <w:vAlign w:val="center"/>
          </w:tcPr>
          <w:p>
            <w:pPr>
              <w:pStyle w:val="20"/>
              <w:spacing w:line="288" w:lineRule="exact"/>
              <w:ind w:firstLine="0"/>
              <w:jc w:val="center"/>
              <w:rPr>
                <w:rFonts w:eastAsia="PMingLiU"/>
                <w:color w:val="auto"/>
              </w:rPr>
            </w:pPr>
            <w:r>
              <w:rPr>
                <w:color w:val="auto"/>
              </w:rPr>
              <w:t>学生日常</w:t>
            </w:r>
          </w:p>
          <w:p>
            <w:pPr>
              <w:pStyle w:val="20"/>
              <w:spacing w:line="288" w:lineRule="exact"/>
              <w:ind w:firstLine="0"/>
              <w:jc w:val="center"/>
              <w:rPr>
                <w:color w:val="auto"/>
              </w:rPr>
            </w:pPr>
            <w:r>
              <w:rPr>
                <w:color w:val="auto"/>
              </w:rPr>
              <w:t>事务</w:t>
            </w:r>
          </w:p>
          <w:p>
            <w:pPr>
              <w:pStyle w:val="20"/>
              <w:spacing w:line="288" w:lineRule="exact"/>
              <w:ind w:firstLine="0"/>
              <w:jc w:val="center"/>
              <w:rPr>
                <w:color w:val="auto"/>
              </w:rPr>
            </w:pPr>
            <w:r>
              <w:rPr>
                <w:color w:val="auto"/>
              </w:rPr>
              <w:t>服务大厅</w:t>
            </w:r>
          </w:p>
        </w:tc>
      </w:tr>
      <w:tr>
        <w:tblPrEx>
          <w:tblCellMar>
            <w:top w:w="0" w:type="dxa"/>
            <w:left w:w="10" w:type="dxa"/>
            <w:bottom w:w="0" w:type="dxa"/>
            <w:right w:w="10" w:type="dxa"/>
          </w:tblCellMar>
        </w:tblPrEx>
        <w:trPr>
          <w:trHeight w:val="619"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2</w:t>
            </w:r>
          </w:p>
        </w:tc>
        <w:tc>
          <w:tcPr>
            <w:tcW w:w="1457"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学生证补办</w:t>
            </w:r>
          </w:p>
        </w:tc>
        <w:tc>
          <w:tcPr>
            <w:tcW w:w="6095" w:type="dxa"/>
            <w:tcBorders>
              <w:top w:val="single" w:color="auto" w:sz="4" w:space="0"/>
              <w:left w:val="single" w:color="auto" w:sz="4" w:space="0"/>
            </w:tcBorders>
            <w:shd w:val="clear" w:color="auto" w:fill="FFFFFF"/>
          </w:tcPr>
          <w:p>
            <w:pPr>
              <w:pStyle w:val="20"/>
              <w:spacing w:line="283" w:lineRule="exact"/>
              <w:ind w:firstLine="0"/>
              <w:jc w:val="both"/>
              <w:rPr>
                <w:rFonts w:eastAsia="PMingLiU"/>
                <w:color w:val="auto"/>
              </w:rPr>
            </w:pPr>
            <w:r>
              <w:rPr>
                <w:color w:val="auto"/>
              </w:rPr>
              <w:t>辅导员处开证明</w:t>
            </w:r>
            <w:r>
              <w:rPr>
                <w:rFonts w:hint="eastAsia"/>
                <w:color w:val="auto"/>
              </w:rPr>
              <w:t>→</w:t>
            </w:r>
            <w:r>
              <w:rPr>
                <w:color w:val="auto"/>
              </w:rPr>
              <w:t>本人携带照片、工本费</w:t>
            </w:r>
            <w:r>
              <w:rPr>
                <w:rFonts w:hint="eastAsia"/>
                <w:color w:val="auto"/>
              </w:rPr>
              <w:t>→</w:t>
            </w:r>
            <w:r>
              <w:rPr>
                <w:color w:val="auto"/>
              </w:rPr>
              <w:t>事务服务大厅办理（领证芯、填内容）</w:t>
            </w:r>
            <w:r>
              <w:rPr>
                <w:rFonts w:hint="eastAsia"/>
                <w:color w:val="auto"/>
              </w:rPr>
              <w:t>→</w:t>
            </w:r>
            <w:r>
              <w:rPr>
                <w:color w:val="auto"/>
              </w:rPr>
              <w:t>下一周一领取</w:t>
            </w:r>
          </w:p>
        </w:tc>
        <w:tc>
          <w:tcPr>
            <w:tcW w:w="1559"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学院、学生工作处</w:t>
            </w:r>
          </w:p>
        </w:tc>
        <w:tc>
          <w:tcPr>
            <w:tcW w:w="1843" w:type="dxa"/>
            <w:tcBorders>
              <w:top w:val="single" w:color="auto" w:sz="4" w:space="0"/>
              <w:left w:val="single" w:color="auto" w:sz="4" w:space="0"/>
            </w:tcBorders>
            <w:shd w:val="clear" w:color="auto" w:fill="FFFFFF"/>
          </w:tcPr>
          <w:p>
            <w:pPr>
              <w:pStyle w:val="20"/>
              <w:spacing w:after="60" w:line="240" w:lineRule="auto"/>
              <w:ind w:firstLine="0"/>
              <w:jc w:val="center"/>
              <w:rPr>
                <w:color w:val="auto"/>
              </w:rPr>
            </w:pPr>
            <w:r>
              <w:rPr>
                <w:color w:val="auto"/>
              </w:rPr>
              <w:t>周一至周五</w:t>
            </w:r>
          </w:p>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9</w:t>
            </w:r>
            <w:r>
              <w:rPr>
                <w:color w:val="auto"/>
                <w:sz w:val="17"/>
                <w:szCs w:val="17"/>
                <w:lang w:val="en-US" w:eastAsia="en-US" w:bidi="en-US"/>
              </w:rPr>
              <w:t>:</w:t>
            </w:r>
            <w:r>
              <w:rPr>
                <w:rFonts w:ascii="Times New Roman" w:hAnsi="Times New Roman"/>
                <w:color w:val="auto"/>
                <w:sz w:val="20"/>
                <w:szCs w:val="17"/>
                <w:lang w:val="en-US" w:eastAsia="en-US" w:bidi="en-US"/>
              </w:rPr>
              <w:t>00</w:t>
            </w:r>
            <w:r>
              <w:rPr>
                <w:color w:val="auto"/>
                <w:sz w:val="17"/>
                <w:szCs w:val="17"/>
                <w:lang w:val="en-US" w:eastAsia="en-US" w:bidi="en-US"/>
              </w:rPr>
              <w:t>-</w:t>
            </w:r>
            <w:r>
              <w:rPr>
                <w:rFonts w:ascii="Times New Roman" w:hAnsi="Times New Roman"/>
                <w:color w:val="auto"/>
                <w:sz w:val="20"/>
                <w:szCs w:val="17"/>
                <w:lang w:val="en-US" w:eastAsia="en-US" w:bidi="en-US"/>
              </w:rPr>
              <w:t>18</w:t>
            </w:r>
            <w:r>
              <w:rPr>
                <w:color w:val="auto"/>
                <w:sz w:val="17"/>
                <w:szCs w:val="17"/>
                <w:lang w:val="en-US" w:eastAsia="en-US" w:bidi="en-US"/>
              </w:rPr>
              <w:t>:</w:t>
            </w:r>
            <w:r>
              <w:rPr>
                <w:rFonts w:ascii="Times New Roman" w:hAnsi="Times New Roman"/>
                <w:color w:val="auto"/>
                <w:sz w:val="20"/>
                <w:szCs w:val="17"/>
                <w:lang w:val="en-US" w:eastAsia="en-US" w:bidi="en-US"/>
              </w:rPr>
              <w:t>00</w:t>
            </w:r>
          </w:p>
        </w:tc>
        <w:tc>
          <w:tcPr>
            <w:tcW w:w="992" w:type="dxa"/>
            <w:vMerge w:val="continue"/>
            <w:tcBorders>
              <w:left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624"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200"/>
              <w:rPr>
                <w:color w:val="auto"/>
                <w:sz w:val="17"/>
                <w:szCs w:val="17"/>
              </w:rPr>
            </w:pPr>
            <w:r>
              <w:rPr>
                <w:rFonts w:ascii="Times New Roman" w:hAnsi="Times New Roman"/>
                <w:color w:val="auto"/>
                <w:sz w:val="20"/>
                <w:szCs w:val="17"/>
              </w:rPr>
              <w:t>3</w:t>
            </w:r>
          </w:p>
        </w:tc>
        <w:tc>
          <w:tcPr>
            <w:tcW w:w="1457" w:type="dxa"/>
            <w:tcBorders>
              <w:top w:val="single" w:color="auto" w:sz="4" w:space="0"/>
              <w:left w:val="single" w:color="auto" w:sz="4" w:space="0"/>
            </w:tcBorders>
            <w:shd w:val="clear" w:color="auto" w:fill="FFFFFF"/>
            <w:vAlign w:val="bottom"/>
          </w:tcPr>
          <w:p>
            <w:pPr>
              <w:pStyle w:val="20"/>
              <w:spacing w:line="278" w:lineRule="exact"/>
              <w:ind w:firstLine="0"/>
              <w:jc w:val="center"/>
              <w:rPr>
                <w:color w:val="auto"/>
              </w:rPr>
            </w:pPr>
            <w:r>
              <w:rPr>
                <w:color w:val="auto"/>
              </w:rPr>
              <w:t>火车票优惠磁条补办或充磁</w:t>
            </w:r>
          </w:p>
        </w:tc>
        <w:tc>
          <w:tcPr>
            <w:tcW w:w="6095" w:type="dxa"/>
            <w:tcBorders>
              <w:top w:val="single" w:color="auto" w:sz="4" w:space="0"/>
              <w:left w:val="single" w:color="auto" w:sz="4" w:space="0"/>
            </w:tcBorders>
            <w:shd w:val="clear" w:color="auto" w:fill="FFFFFF"/>
            <w:vAlign w:val="center"/>
          </w:tcPr>
          <w:p>
            <w:pPr>
              <w:pStyle w:val="20"/>
              <w:spacing w:line="283" w:lineRule="exact"/>
              <w:ind w:firstLine="0"/>
              <w:jc w:val="both"/>
              <w:rPr>
                <w:color w:val="auto"/>
              </w:rPr>
            </w:pPr>
            <w:r>
              <w:rPr>
                <w:color w:val="auto"/>
              </w:rPr>
              <w:t>每学期最后一个月携带学生证（初办的携带磁条工本费）</w:t>
            </w:r>
            <w:r>
              <w:rPr>
                <w:rFonts w:hint="eastAsia"/>
                <w:color w:val="auto"/>
              </w:rPr>
              <w:t>→</w:t>
            </w:r>
            <w:r>
              <w:rPr>
                <w:color w:val="auto"/>
              </w:rPr>
              <w:t>事务服务</w:t>
            </w:r>
            <w:r>
              <w:rPr>
                <w:rFonts w:hint="eastAsia"/>
                <w:color w:val="auto"/>
                <w:lang w:val="zh-CN" w:eastAsia="zh-CN" w:bidi="zh-CN"/>
              </w:rPr>
              <w:t>大厅</w:t>
            </w:r>
            <w:r>
              <w:rPr>
                <w:color w:val="auto"/>
                <w:lang w:val="zh-CN" w:eastAsia="zh-CN" w:bidi="zh-CN"/>
              </w:rPr>
              <w:t>办理</w:t>
            </w:r>
          </w:p>
        </w:tc>
        <w:tc>
          <w:tcPr>
            <w:tcW w:w="1559"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学生工作处</w:t>
            </w:r>
          </w:p>
        </w:tc>
        <w:tc>
          <w:tcPr>
            <w:tcW w:w="1843" w:type="dxa"/>
            <w:tcBorders>
              <w:top w:val="single" w:color="auto" w:sz="4" w:space="0"/>
              <w:left w:val="single" w:color="auto" w:sz="4" w:space="0"/>
            </w:tcBorders>
            <w:shd w:val="clear" w:color="auto" w:fill="FFFFFF"/>
            <w:vAlign w:val="bottom"/>
          </w:tcPr>
          <w:p>
            <w:pPr>
              <w:pStyle w:val="20"/>
              <w:spacing w:line="264" w:lineRule="exact"/>
              <w:ind w:firstLine="0"/>
              <w:jc w:val="center"/>
              <w:rPr>
                <w:color w:val="auto"/>
                <w:sz w:val="17"/>
                <w:szCs w:val="17"/>
              </w:rPr>
            </w:pPr>
            <w:r>
              <w:rPr>
                <w:color w:val="auto"/>
              </w:rPr>
              <w:t>每学期最后一个月周一至周五</w:t>
            </w:r>
            <w:r>
              <w:rPr>
                <w:rFonts w:ascii="Times New Roman" w:hAnsi="Times New Roman"/>
                <w:color w:val="auto"/>
                <w:sz w:val="20"/>
                <w:szCs w:val="17"/>
                <w:lang w:val="en-US" w:eastAsia="zh-CN" w:bidi="en-US"/>
              </w:rPr>
              <w:t>9</w:t>
            </w:r>
            <w:r>
              <w:rPr>
                <w:color w:val="auto"/>
                <w:sz w:val="17"/>
                <w:szCs w:val="17"/>
                <w:lang w:val="en-US" w:eastAsia="zh-CN" w:bidi="en-US"/>
              </w:rPr>
              <w:t>:</w:t>
            </w:r>
            <w:r>
              <w:rPr>
                <w:rFonts w:ascii="Times New Roman" w:hAnsi="Times New Roman"/>
                <w:color w:val="auto"/>
                <w:sz w:val="20"/>
                <w:szCs w:val="17"/>
                <w:lang w:val="en-US" w:eastAsia="zh-CN" w:bidi="en-US"/>
              </w:rPr>
              <w:t>00</w:t>
            </w:r>
            <w:r>
              <w:rPr>
                <w:color w:val="auto"/>
                <w:sz w:val="17"/>
                <w:szCs w:val="17"/>
                <w:lang w:val="en-US" w:eastAsia="zh-CN" w:bidi="en-US"/>
              </w:rPr>
              <w:t>-</w:t>
            </w:r>
            <w:r>
              <w:rPr>
                <w:rFonts w:ascii="Times New Roman" w:hAnsi="Times New Roman"/>
                <w:color w:val="auto"/>
                <w:sz w:val="20"/>
                <w:szCs w:val="17"/>
                <w:lang w:val="en-US" w:eastAsia="zh-CN" w:bidi="en-US"/>
              </w:rPr>
              <w:t>18</w:t>
            </w:r>
            <w:r>
              <w:rPr>
                <w:color w:val="auto"/>
                <w:sz w:val="17"/>
                <w:szCs w:val="17"/>
                <w:lang w:val="en-US" w:eastAsia="zh-CN" w:bidi="en-US"/>
              </w:rPr>
              <w:t>:</w:t>
            </w:r>
            <w:r>
              <w:rPr>
                <w:rFonts w:ascii="Times New Roman" w:hAnsi="Times New Roman"/>
                <w:color w:val="auto"/>
                <w:sz w:val="20"/>
                <w:szCs w:val="17"/>
                <w:lang w:val="en-US" w:eastAsia="zh-CN" w:bidi="en-US"/>
              </w:rPr>
              <w:t>00</w:t>
            </w:r>
          </w:p>
        </w:tc>
        <w:tc>
          <w:tcPr>
            <w:tcW w:w="992" w:type="dxa"/>
            <w:vMerge w:val="continue"/>
            <w:tcBorders>
              <w:left w:val="single" w:color="auto" w:sz="4" w:space="0"/>
              <w:right w:val="single" w:color="auto" w:sz="4" w:space="0"/>
            </w:tcBorders>
            <w:shd w:val="clear" w:color="auto" w:fill="FFFFFF"/>
            <w:vAlign w:val="center"/>
          </w:tcPr>
          <w:p>
            <w:pPr>
              <w:rPr>
                <w:color w:val="auto"/>
                <w:lang w:eastAsia="zh-CN"/>
              </w:rPr>
            </w:pPr>
          </w:p>
        </w:tc>
      </w:tr>
      <w:tr>
        <w:tblPrEx>
          <w:tblCellMar>
            <w:top w:w="0" w:type="dxa"/>
            <w:left w:w="10" w:type="dxa"/>
            <w:bottom w:w="0" w:type="dxa"/>
            <w:right w:w="10" w:type="dxa"/>
          </w:tblCellMar>
        </w:tblPrEx>
        <w:trPr>
          <w:trHeight w:val="624"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4</w:t>
            </w:r>
          </w:p>
        </w:tc>
        <w:tc>
          <w:tcPr>
            <w:tcW w:w="1457" w:type="dxa"/>
            <w:tcBorders>
              <w:top w:val="single" w:color="auto" w:sz="4" w:space="0"/>
              <w:left w:val="single" w:color="auto" w:sz="4" w:space="0"/>
            </w:tcBorders>
            <w:shd w:val="clear" w:color="auto" w:fill="FFFFFF"/>
            <w:vAlign w:val="center"/>
          </w:tcPr>
          <w:p>
            <w:pPr>
              <w:pStyle w:val="20"/>
              <w:spacing w:line="240" w:lineRule="auto"/>
              <w:ind w:firstLine="0"/>
              <w:rPr>
                <w:color w:val="auto"/>
              </w:rPr>
            </w:pPr>
            <w:r>
              <w:rPr>
                <w:color w:val="auto"/>
              </w:rPr>
              <w:t>学生在校证明办理</w:t>
            </w:r>
          </w:p>
        </w:tc>
        <w:tc>
          <w:tcPr>
            <w:tcW w:w="6095" w:type="dxa"/>
            <w:tcBorders>
              <w:top w:val="single" w:color="auto" w:sz="4" w:space="0"/>
              <w:left w:val="single" w:color="auto" w:sz="4" w:space="0"/>
            </w:tcBorders>
            <w:shd w:val="clear" w:color="auto" w:fill="FFFFFF"/>
          </w:tcPr>
          <w:p>
            <w:pPr>
              <w:pStyle w:val="20"/>
              <w:spacing w:line="283" w:lineRule="exact"/>
              <w:ind w:firstLine="0"/>
              <w:jc w:val="both"/>
              <w:rPr>
                <w:rFonts w:eastAsia="PMingLiU"/>
                <w:color w:val="auto"/>
              </w:rPr>
            </w:pPr>
            <w:r>
              <w:rPr>
                <w:color w:val="auto"/>
              </w:rPr>
              <w:t>辅导员处拟写、打印证明内容</w:t>
            </w:r>
            <w:r>
              <w:rPr>
                <w:rFonts w:hint="eastAsia"/>
                <w:color w:val="auto"/>
              </w:rPr>
              <w:t>→</w:t>
            </w:r>
            <w:r>
              <w:rPr>
                <w:color w:val="auto"/>
              </w:rPr>
              <w:t>辅导员手写签字</w:t>
            </w:r>
            <w:r>
              <w:rPr>
                <w:rFonts w:hint="eastAsia"/>
                <w:color w:val="auto"/>
              </w:rPr>
              <w:t>→</w:t>
            </w:r>
            <w:r>
              <w:rPr>
                <w:color w:val="auto"/>
              </w:rPr>
              <w:t>学院盖章</w:t>
            </w:r>
            <w:r>
              <w:rPr>
                <w:rFonts w:hint="eastAsia"/>
                <w:color w:val="auto"/>
              </w:rPr>
              <w:t>→</w:t>
            </w:r>
            <w:r>
              <w:rPr>
                <w:color w:val="auto"/>
              </w:rPr>
              <w:t>事务服务大厅盖章</w:t>
            </w:r>
          </w:p>
        </w:tc>
        <w:tc>
          <w:tcPr>
            <w:tcW w:w="1559"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学院、学生工作处</w:t>
            </w:r>
          </w:p>
        </w:tc>
        <w:tc>
          <w:tcPr>
            <w:tcW w:w="1843" w:type="dxa"/>
            <w:tcBorders>
              <w:top w:val="single" w:color="auto" w:sz="4" w:space="0"/>
              <w:left w:val="single" w:color="auto" w:sz="4" w:space="0"/>
            </w:tcBorders>
            <w:shd w:val="clear" w:color="auto" w:fill="FFFFFF"/>
          </w:tcPr>
          <w:p>
            <w:pPr>
              <w:pStyle w:val="20"/>
              <w:spacing w:after="60" w:line="240" w:lineRule="auto"/>
              <w:ind w:firstLine="0"/>
              <w:jc w:val="center"/>
              <w:rPr>
                <w:color w:val="auto"/>
              </w:rPr>
            </w:pPr>
            <w:r>
              <w:rPr>
                <w:color w:val="auto"/>
              </w:rPr>
              <w:t>周一至周五</w:t>
            </w:r>
          </w:p>
          <w:p>
            <w:pPr>
              <w:pStyle w:val="20"/>
              <w:spacing w:line="240" w:lineRule="auto"/>
              <w:ind w:firstLine="0"/>
              <w:jc w:val="center"/>
              <w:rPr>
                <w:color w:val="auto"/>
                <w:sz w:val="17"/>
                <w:szCs w:val="17"/>
              </w:rPr>
            </w:pPr>
            <w:r>
              <w:rPr>
                <w:rFonts w:ascii="Times New Roman" w:hAnsi="Times New Roman"/>
                <w:color w:val="auto"/>
                <w:sz w:val="20"/>
                <w:szCs w:val="17"/>
                <w:lang w:val="en-US" w:eastAsia="en-US" w:bidi="en-US"/>
              </w:rPr>
              <w:t>9</w:t>
            </w:r>
            <w:r>
              <w:rPr>
                <w:color w:val="auto"/>
                <w:sz w:val="17"/>
                <w:szCs w:val="17"/>
                <w:lang w:val="en-US" w:eastAsia="en-US" w:bidi="en-US"/>
              </w:rPr>
              <w:t>:</w:t>
            </w:r>
            <w:r>
              <w:rPr>
                <w:rFonts w:ascii="Times New Roman" w:hAnsi="Times New Roman"/>
                <w:color w:val="auto"/>
                <w:sz w:val="20"/>
                <w:szCs w:val="17"/>
                <w:lang w:val="en-US" w:eastAsia="en-US" w:bidi="en-US"/>
              </w:rPr>
              <w:t>00</w:t>
            </w:r>
            <w:r>
              <w:rPr>
                <w:color w:val="auto"/>
                <w:sz w:val="17"/>
                <w:szCs w:val="17"/>
                <w:lang w:val="en-US" w:eastAsia="en-US" w:bidi="en-US"/>
              </w:rPr>
              <w:t>-</w:t>
            </w:r>
            <w:r>
              <w:rPr>
                <w:rFonts w:ascii="Times New Roman" w:hAnsi="Times New Roman"/>
                <w:color w:val="auto"/>
                <w:sz w:val="20"/>
                <w:szCs w:val="17"/>
                <w:lang w:val="en-US" w:eastAsia="en-US" w:bidi="en-US"/>
              </w:rPr>
              <w:t>18</w:t>
            </w:r>
            <w:r>
              <w:rPr>
                <w:color w:val="auto"/>
                <w:sz w:val="17"/>
                <w:szCs w:val="17"/>
                <w:lang w:val="en-US" w:eastAsia="en-US" w:bidi="en-US"/>
              </w:rPr>
              <w:t>:</w:t>
            </w:r>
            <w:r>
              <w:rPr>
                <w:rFonts w:ascii="Times New Roman" w:hAnsi="Times New Roman"/>
                <w:color w:val="auto"/>
                <w:sz w:val="20"/>
                <w:szCs w:val="17"/>
                <w:lang w:val="en-US" w:eastAsia="en-US" w:bidi="en-US"/>
              </w:rPr>
              <w:t>00</w:t>
            </w:r>
          </w:p>
        </w:tc>
        <w:tc>
          <w:tcPr>
            <w:tcW w:w="992" w:type="dxa"/>
            <w:vMerge w:val="continue"/>
            <w:tcBorders>
              <w:left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965"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200"/>
              <w:rPr>
                <w:color w:val="auto"/>
                <w:sz w:val="17"/>
                <w:szCs w:val="17"/>
              </w:rPr>
            </w:pPr>
            <w:r>
              <w:rPr>
                <w:rFonts w:ascii="Times New Roman" w:hAnsi="Times New Roman"/>
                <w:color w:val="auto"/>
                <w:sz w:val="20"/>
                <w:szCs w:val="17"/>
              </w:rPr>
              <w:t>5</w:t>
            </w:r>
          </w:p>
        </w:tc>
        <w:tc>
          <w:tcPr>
            <w:tcW w:w="1457" w:type="dxa"/>
            <w:tcBorders>
              <w:top w:val="single" w:color="auto" w:sz="4" w:space="0"/>
              <w:left w:val="single" w:color="auto" w:sz="4" w:space="0"/>
            </w:tcBorders>
            <w:shd w:val="clear" w:color="auto" w:fill="FFFFFF"/>
            <w:vAlign w:val="center"/>
          </w:tcPr>
          <w:p>
            <w:pPr>
              <w:pStyle w:val="20"/>
              <w:spacing w:line="240" w:lineRule="auto"/>
              <w:ind w:firstLine="140"/>
              <w:rPr>
                <w:color w:val="auto"/>
              </w:rPr>
            </w:pPr>
            <w:r>
              <w:rPr>
                <w:color w:val="auto"/>
              </w:rPr>
              <w:t>教育储蓄的办理</w:t>
            </w:r>
          </w:p>
        </w:tc>
        <w:tc>
          <w:tcPr>
            <w:tcW w:w="6095" w:type="dxa"/>
            <w:tcBorders>
              <w:top w:val="single" w:color="auto" w:sz="4" w:space="0"/>
              <w:left w:val="single" w:color="auto" w:sz="4" w:space="0"/>
            </w:tcBorders>
            <w:shd w:val="clear" w:color="auto" w:fill="FFFFFF"/>
            <w:vAlign w:val="center"/>
          </w:tcPr>
          <w:p>
            <w:pPr>
              <w:pStyle w:val="20"/>
              <w:spacing w:line="276" w:lineRule="exact"/>
              <w:ind w:firstLine="0"/>
              <w:jc w:val="both"/>
              <w:rPr>
                <w:color w:val="auto"/>
              </w:rPr>
            </w:pPr>
            <w:r>
              <w:rPr>
                <w:color w:val="auto"/>
              </w:rPr>
              <w:t>学生准备储蓄信息：银行全称、储蓄金额、储蓄利率、储蓄起止时间</w:t>
            </w:r>
            <w:r>
              <w:rPr>
                <w:rFonts w:hint="eastAsia"/>
                <w:color w:val="auto"/>
              </w:rPr>
              <w:t>→</w:t>
            </w:r>
            <w:r>
              <w:rPr>
                <w:color w:val="auto"/>
              </w:rPr>
              <w:t>学生提供身份证和学生证原件</w:t>
            </w:r>
            <w:r>
              <w:rPr>
                <w:rFonts w:hint="eastAsia"/>
                <w:color w:val="auto"/>
              </w:rPr>
              <w:t>→</w:t>
            </w:r>
            <w:r>
              <w:rPr>
                <w:color w:val="auto"/>
              </w:rPr>
              <w:t>本人亲自前往学生日常事务服务大厅</w:t>
            </w:r>
            <w:r>
              <w:rPr>
                <w:rFonts w:ascii="Times New Roman" w:hAnsi="Times New Roman"/>
                <w:color w:val="auto"/>
                <w:sz w:val="20"/>
                <w:szCs w:val="17"/>
              </w:rPr>
              <w:t>3</w:t>
            </w:r>
            <w:r>
              <w:rPr>
                <w:color w:val="auto"/>
              </w:rPr>
              <w:t>号财务处窗口（注：每位学生大学四年只能办理一次教育储蓄，最高金额为</w:t>
            </w:r>
            <w:r>
              <w:rPr>
                <w:rFonts w:ascii="Times New Roman" w:hAnsi="Times New Roman"/>
                <w:color w:val="auto"/>
                <w:sz w:val="20"/>
                <w:szCs w:val="17"/>
              </w:rPr>
              <w:t>2</w:t>
            </w:r>
            <w:r>
              <w:rPr>
                <w:color w:val="auto"/>
              </w:rPr>
              <w:t>万元）</w:t>
            </w:r>
          </w:p>
        </w:tc>
        <w:tc>
          <w:tcPr>
            <w:tcW w:w="1559"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财务处</w:t>
            </w:r>
          </w:p>
        </w:tc>
        <w:tc>
          <w:tcPr>
            <w:tcW w:w="1843" w:type="dxa"/>
            <w:tcBorders>
              <w:top w:val="single" w:color="auto" w:sz="4" w:space="0"/>
              <w:left w:val="single" w:color="auto" w:sz="4" w:space="0"/>
            </w:tcBorders>
            <w:shd w:val="clear" w:color="auto" w:fill="FFFFFF"/>
            <w:vAlign w:val="center"/>
          </w:tcPr>
          <w:p>
            <w:pPr>
              <w:pStyle w:val="20"/>
              <w:spacing w:after="60" w:line="240" w:lineRule="auto"/>
              <w:ind w:firstLine="0"/>
              <w:jc w:val="center"/>
              <w:rPr>
                <w:color w:val="auto"/>
              </w:rPr>
            </w:pPr>
            <w:r>
              <w:rPr>
                <w:color w:val="auto"/>
              </w:rPr>
              <w:t>每周一至周五中午</w:t>
            </w:r>
          </w:p>
          <w:p>
            <w:pPr>
              <w:pStyle w:val="20"/>
              <w:spacing w:line="240" w:lineRule="auto"/>
              <w:ind w:firstLine="480"/>
              <w:rPr>
                <w:color w:val="auto"/>
                <w:sz w:val="17"/>
                <w:szCs w:val="17"/>
              </w:rPr>
            </w:pPr>
            <w:r>
              <w:rPr>
                <w:rFonts w:ascii="Times New Roman" w:hAnsi="Times New Roman"/>
                <w:color w:val="auto"/>
                <w:sz w:val="20"/>
                <w:szCs w:val="17"/>
                <w:lang w:val="en-US" w:eastAsia="en-US" w:bidi="en-US"/>
              </w:rPr>
              <w:t>13</w:t>
            </w:r>
            <w:r>
              <w:rPr>
                <w:color w:val="auto"/>
                <w:sz w:val="17"/>
                <w:szCs w:val="17"/>
                <w:lang w:val="en-US" w:eastAsia="en-US" w:bidi="en-US"/>
              </w:rPr>
              <w:t>:</w:t>
            </w:r>
            <w:r>
              <w:rPr>
                <w:rFonts w:ascii="Times New Roman" w:hAnsi="Times New Roman"/>
                <w:color w:val="auto"/>
                <w:sz w:val="20"/>
                <w:szCs w:val="17"/>
                <w:lang w:val="en-US" w:eastAsia="en-US" w:bidi="en-US"/>
              </w:rPr>
              <w:t>00</w:t>
            </w:r>
            <w:r>
              <w:rPr>
                <w:color w:val="auto"/>
                <w:sz w:val="17"/>
                <w:szCs w:val="17"/>
                <w:lang w:val="en-US" w:eastAsia="en-US" w:bidi="en-US"/>
              </w:rPr>
              <w:t>-</w:t>
            </w:r>
            <w:r>
              <w:rPr>
                <w:rFonts w:ascii="Times New Roman" w:hAnsi="Times New Roman"/>
                <w:color w:val="auto"/>
                <w:sz w:val="20"/>
                <w:szCs w:val="17"/>
                <w:lang w:val="en-US" w:eastAsia="en-US" w:bidi="en-US"/>
              </w:rPr>
              <w:t>16</w:t>
            </w:r>
            <w:r>
              <w:rPr>
                <w:color w:val="auto"/>
                <w:sz w:val="17"/>
                <w:szCs w:val="17"/>
                <w:lang w:val="en-US" w:eastAsia="en-US" w:bidi="en-US"/>
              </w:rPr>
              <w:t>:</w:t>
            </w:r>
            <w:r>
              <w:rPr>
                <w:rFonts w:ascii="Times New Roman" w:hAnsi="Times New Roman"/>
                <w:color w:val="auto"/>
                <w:sz w:val="20"/>
                <w:szCs w:val="17"/>
                <w:lang w:val="en-US" w:eastAsia="en-US" w:bidi="en-US"/>
              </w:rPr>
              <w:t>00</w:t>
            </w:r>
          </w:p>
        </w:tc>
        <w:tc>
          <w:tcPr>
            <w:tcW w:w="992" w:type="dxa"/>
            <w:vMerge w:val="continue"/>
            <w:tcBorders>
              <w:left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965"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6</w:t>
            </w:r>
          </w:p>
        </w:tc>
        <w:tc>
          <w:tcPr>
            <w:tcW w:w="1457" w:type="dxa"/>
            <w:tcBorders>
              <w:top w:val="single" w:color="auto" w:sz="4" w:space="0"/>
              <w:left w:val="single" w:color="auto" w:sz="4" w:space="0"/>
            </w:tcBorders>
            <w:shd w:val="clear" w:color="auto" w:fill="FFFFFF"/>
            <w:vAlign w:val="center"/>
          </w:tcPr>
          <w:p>
            <w:pPr>
              <w:pStyle w:val="20"/>
              <w:spacing w:line="240" w:lineRule="auto"/>
              <w:ind w:firstLine="140"/>
              <w:rPr>
                <w:color w:val="auto"/>
              </w:rPr>
            </w:pPr>
            <w:r>
              <w:rPr>
                <w:color w:val="auto"/>
              </w:rPr>
              <w:t>大学生医保报销</w:t>
            </w:r>
          </w:p>
        </w:tc>
        <w:tc>
          <w:tcPr>
            <w:tcW w:w="6095" w:type="dxa"/>
            <w:tcBorders>
              <w:top w:val="single" w:color="auto" w:sz="4" w:space="0"/>
              <w:left w:val="single" w:color="auto" w:sz="4" w:space="0"/>
            </w:tcBorders>
            <w:shd w:val="clear" w:color="auto" w:fill="FFFFFF"/>
            <w:vAlign w:val="center"/>
          </w:tcPr>
          <w:p>
            <w:pPr>
              <w:pStyle w:val="20"/>
              <w:spacing w:line="278" w:lineRule="exact"/>
              <w:ind w:firstLine="0"/>
              <w:jc w:val="both"/>
              <w:rPr>
                <w:color w:val="auto"/>
              </w:rPr>
            </w:pPr>
            <w:r>
              <w:rPr>
                <w:color w:val="auto"/>
              </w:rPr>
              <w:t>门诊报销：学生带发票原件、医保卡或者学生证；住院报销：学生带发票原件、病历复印件、出院小结复印件、费用清单复印件，如属外伤，需要相关情况说明，并由辅导员签字、学院盖章</w:t>
            </w:r>
            <w:r>
              <w:rPr>
                <w:rFonts w:hint="eastAsia"/>
                <w:color w:val="auto"/>
              </w:rPr>
              <w:t>→</w:t>
            </w:r>
            <w:r>
              <w:rPr>
                <w:color w:val="auto"/>
              </w:rPr>
              <w:t>学生日常事务服务大厅办理</w:t>
            </w:r>
          </w:p>
        </w:tc>
        <w:tc>
          <w:tcPr>
            <w:tcW w:w="1559"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学院、学生工作处</w:t>
            </w:r>
          </w:p>
        </w:tc>
        <w:tc>
          <w:tcPr>
            <w:tcW w:w="1843" w:type="dxa"/>
            <w:tcBorders>
              <w:top w:val="single" w:color="auto" w:sz="4" w:space="0"/>
              <w:left w:val="single" w:color="auto" w:sz="4" w:space="0"/>
            </w:tcBorders>
            <w:shd w:val="clear" w:color="auto" w:fill="FFFFFF"/>
            <w:vAlign w:val="center"/>
          </w:tcPr>
          <w:p>
            <w:pPr>
              <w:pStyle w:val="20"/>
              <w:spacing w:after="60" w:line="240" w:lineRule="auto"/>
              <w:ind w:firstLine="480"/>
              <w:rPr>
                <w:color w:val="auto"/>
              </w:rPr>
            </w:pPr>
            <w:r>
              <w:rPr>
                <w:color w:val="auto"/>
              </w:rPr>
              <w:t>每周四中午</w:t>
            </w:r>
          </w:p>
          <w:p>
            <w:pPr>
              <w:pStyle w:val="20"/>
              <w:spacing w:line="240" w:lineRule="auto"/>
              <w:ind w:firstLine="480"/>
              <w:rPr>
                <w:color w:val="auto"/>
                <w:sz w:val="17"/>
                <w:szCs w:val="17"/>
              </w:rPr>
            </w:pPr>
            <w:r>
              <w:rPr>
                <w:rFonts w:ascii="Times New Roman" w:hAnsi="Times New Roman"/>
                <w:color w:val="auto"/>
                <w:sz w:val="20"/>
                <w:szCs w:val="17"/>
                <w:lang w:val="en-US" w:eastAsia="en-US" w:bidi="en-US"/>
              </w:rPr>
              <w:t>13</w:t>
            </w:r>
            <w:r>
              <w:rPr>
                <w:color w:val="auto"/>
                <w:sz w:val="17"/>
                <w:szCs w:val="17"/>
                <w:lang w:val="en-US" w:eastAsia="en-US" w:bidi="en-US"/>
              </w:rPr>
              <w:t>:</w:t>
            </w:r>
            <w:r>
              <w:rPr>
                <w:rFonts w:ascii="Times New Roman" w:hAnsi="Times New Roman"/>
                <w:color w:val="auto"/>
                <w:sz w:val="20"/>
                <w:szCs w:val="17"/>
                <w:lang w:val="en-US" w:eastAsia="en-US" w:bidi="en-US"/>
              </w:rPr>
              <w:t>00</w:t>
            </w:r>
            <w:r>
              <w:rPr>
                <w:color w:val="auto"/>
                <w:sz w:val="17"/>
                <w:szCs w:val="17"/>
                <w:lang w:val="en-US" w:eastAsia="en-US" w:bidi="en-US"/>
              </w:rPr>
              <w:t>-</w:t>
            </w:r>
            <w:r>
              <w:rPr>
                <w:rFonts w:ascii="Times New Roman" w:hAnsi="Times New Roman"/>
                <w:color w:val="auto"/>
                <w:sz w:val="20"/>
                <w:szCs w:val="17"/>
                <w:lang w:val="en-US" w:eastAsia="en-US" w:bidi="en-US"/>
              </w:rPr>
              <w:t>16</w:t>
            </w:r>
            <w:r>
              <w:rPr>
                <w:color w:val="auto"/>
                <w:sz w:val="17"/>
                <w:szCs w:val="17"/>
                <w:lang w:val="en-US" w:eastAsia="en-US" w:bidi="en-US"/>
              </w:rPr>
              <w:t>:</w:t>
            </w:r>
            <w:r>
              <w:rPr>
                <w:rFonts w:ascii="Times New Roman" w:hAnsi="Times New Roman"/>
                <w:color w:val="auto"/>
                <w:sz w:val="20"/>
                <w:szCs w:val="17"/>
                <w:lang w:val="en-US" w:eastAsia="en-US" w:bidi="en-US"/>
              </w:rPr>
              <w:t>00</w:t>
            </w:r>
          </w:p>
        </w:tc>
        <w:tc>
          <w:tcPr>
            <w:tcW w:w="992" w:type="dxa"/>
            <w:vMerge w:val="continue"/>
            <w:tcBorders>
              <w:left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1190"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200"/>
              <w:rPr>
                <w:color w:val="auto"/>
                <w:sz w:val="17"/>
                <w:szCs w:val="17"/>
              </w:rPr>
            </w:pPr>
            <w:r>
              <w:rPr>
                <w:rFonts w:ascii="Times New Roman" w:hAnsi="Times New Roman"/>
                <w:color w:val="auto"/>
                <w:sz w:val="20"/>
                <w:szCs w:val="17"/>
              </w:rPr>
              <w:t>7</w:t>
            </w:r>
          </w:p>
        </w:tc>
        <w:tc>
          <w:tcPr>
            <w:tcW w:w="1457"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政审办理</w:t>
            </w:r>
          </w:p>
        </w:tc>
        <w:tc>
          <w:tcPr>
            <w:tcW w:w="6095" w:type="dxa"/>
            <w:tcBorders>
              <w:top w:val="single" w:color="auto" w:sz="4" w:space="0"/>
              <w:left w:val="single" w:color="auto" w:sz="4" w:space="0"/>
            </w:tcBorders>
            <w:shd w:val="clear" w:color="auto" w:fill="FFFFFF"/>
            <w:vAlign w:val="bottom"/>
          </w:tcPr>
          <w:p>
            <w:pPr>
              <w:pStyle w:val="20"/>
              <w:spacing w:line="278" w:lineRule="exact"/>
              <w:ind w:firstLine="0"/>
              <w:jc w:val="both"/>
              <w:rPr>
                <w:rFonts w:eastAsia="PMingLiU"/>
                <w:color w:val="auto"/>
              </w:rPr>
            </w:pPr>
            <w:r>
              <w:rPr>
                <w:color w:val="auto"/>
              </w:rPr>
              <w:t>学生在辅导员处领取政审申请表</w:t>
            </w:r>
            <w:r>
              <w:rPr>
                <w:rFonts w:hint="eastAsia"/>
                <w:color w:val="auto"/>
              </w:rPr>
              <w:t>→</w:t>
            </w:r>
            <w:r>
              <w:rPr>
                <w:color w:val="auto"/>
              </w:rPr>
              <w:t>带相关表格到学院党总支申请</w:t>
            </w:r>
            <w:r>
              <w:rPr>
                <w:rFonts w:hint="eastAsia"/>
                <w:color w:val="auto"/>
              </w:rPr>
              <w:t>→</w:t>
            </w:r>
            <w:r>
              <w:rPr>
                <w:color w:val="auto"/>
              </w:rPr>
              <w:t>党总支副书记指定辅导员审核并填写政审意见（不能由学生本人或其他学生代写）</w:t>
            </w:r>
            <w:r>
              <w:rPr>
                <w:rFonts w:hint="eastAsia"/>
                <w:color w:val="auto"/>
              </w:rPr>
              <w:t>→</w:t>
            </w:r>
            <w:r>
              <w:rPr>
                <w:color w:val="auto"/>
              </w:rPr>
              <w:t>盖学院党总支印章</w:t>
            </w:r>
            <w:r>
              <w:rPr>
                <w:rFonts w:hint="eastAsia"/>
                <w:color w:val="auto"/>
              </w:rPr>
              <w:t>→</w:t>
            </w:r>
            <w:r>
              <w:rPr>
                <w:color w:val="auto"/>
              </w:rPr>
              <w:t>当事人回避，辅导员带材料到学生工作处进行审核、登记</w:t>
            </w:r>
            <w:r>
              <w:rPr>
                <w:rFonts w:hint="eastAsia"/>
                <w:color w:val="auto"/>
              </w:rPr>
              <w:t>→</w:t>
            </w:r>
            <w:r>
              <w:rPr>
                <w:color w:val="auto"/>
              </w:rPr>
              <w:t>学校党委书记（副书记）签字或授权党群工作部</w:t>
            </w:r>
            <w:r>
              <w:rPr>
                <w:rFonts w:hint="eastAsia"/>
                <w:color w:val="auto"/>
              </w:rPr>
              <w:t>办理→</w:t>
            </w:r>
            <w:r>
              <w:rPr>
                <w:color w:val="auto"/>
              </w:rPr>
              <w:t>盖学校党委公章</w:t>
            </w:r>
          </w:p>
        </w:tc>
        <w:tc>
          <w:tcPr>
            <w:tcW w:w="1559" w:type="dxa"/>
            <w:tcBorders>
              <w:top w:val="single" w:color="auto" w:sz="4" w:space="0"/>
              <w:left w:val="single" w:color="auto" w:sz="4" w:space="0"/>
            </w:tcBorders>
            <w:shd w:val="clear" w:color="auto" w:fill="FFFFFF"/>
            <w:vAlign w:val="bottom"/>
          </w:tcPr>
          <w:p>
            <w:pPr>
              <w:pStyle w:val="20"/>
              <w:spacing w:line="278" w:lineRule="exact"/>
              <w:ind w:firstLine="0"/>
              <w:jc w:val="center"/>
              <w:rPr>
                <w:color w:val="auto"/>
              </w:rPr>
            </w:pPr>
            <w:r>
              <w:rPr>
                <w:color w:val="auto"/>
              </w:rPr>
              <w:t>学院（党总支）学</w:t>
            </w:r>
            <w:r>
              <w:rPr>
                <w:rFonts w:hint="eastAsia"/>
                <w:color w:val="auto"/>
              </w:rPr>
              <w:t>生</w:t>
            </w:r>
            <w:r>
              <w:rPr>
                <w:color w:val="auto"/>
              </w:rPr>
              <w:t>工作处（团委）、党</w:t>
            </w:r>
            <w:r>
              <w:rPr>
                <w:rFonts w:hint="eastAsia"/>
                <w:color w:val="auto"/>
              </w:rPr>
              <w:t>群</w:t>
            </w:r>
            <w:r>
              <w:rPr>
                <w:color w:val="auto"/>
              </w:rPr>
              <w:t>工作部、党委（副）书记</w:t>
            </w:r>
          </w:p>
        </w:tc>
        <w:tc>
          <w:tcPr>
            <w:tcW w:w="184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随时办理</w:t>
            </w:r>
          </w:p>
        </w:tc>
        <w:tc>
          <w:tcPr>
            <w:tcW w:w="992" w:type="dxa"/>
            <w:tcBorders>
              <w:top w:val="single" w:color="auto" w:sz="4" w:space="0"/>
              <w:left w:val="single" w:color="auto" w:sz="4" w:space="0"/>
              <w:right w:val="single" w:color="auto" w:sz="4" w:space="0"/>
            </w:tcBorders>
            <w:shd w:val="clear" w:color="auto" w:fill="FFFFFF"/>
            <w:vAlign w:val="center"/>
          </w:tcPr>
          <w:p>
            <w:pPr>
              <w:pStyle w:val="20"/>
              <w:spacing w:line="278" w:lineRule="exact"/>
              <w:ind w:firstLine="0"/>
              <w:jc w:val="center"/>
              <w:rPr>
                <w:rFonts w:eastAsia="PMingLiU"/>
                <w:color w:val="auto"/>
              </w:rPr>
            </w:pPr>
            <w:r>
              <w:rPr>
                <w:color w:val="auto"/>
              </w:rPr>
              <w:t>学院</w:t>
            </w:r>
          </w:p>
          <w:p>
            <w:pPr>
              <w:pStyle w:val="20"/>
              <w:spacing w:line="278" w:lineRule="exact"/>
              <w:ind w:firstLine="0"/>
              <w:jc w:val="center"/>
              <w:rPr>
                <w:color w:val="auto"/>
              </w:rPr>
            </w:pPr>
            <w:r>
              <w:rPr>
                <w:color w:val="auto"/>
              </w:rPr>
              <w:t>（党总支）</w:t>
            </w:r>
          </w:p>
        </w:tc>
      </w:tr>
      <w:tr>
        <w:tblPrEx>
          <w:tblCellMar>
            <w:top w:w="0" w:type="dxa"/>
            <w:left w:w="10" w:type="dxa"/>
            <w:bottom w:w="0" w:type="dxa"/>
            <w:right w:w="10" w:type="dxa"/>
          </w:tblCellMar>
        </w:tblPrEx>
        <w:trPr>
          <w:trHeight w:val="974" w:hRule="exact"/>
          <w:jc w:val="center"/>
        </w:trPr>
        <w:tc>
          <w:tcPr>
            <w:tcW w:w="523"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8</w:t>
            </w:r>
          </w:p>
        </w:tc>
        <w:tc>
          <w:tcPr>
            <w:tcW w:w="1457" w:type="dxa"/>
            <w:tcBorders>
              <w:top w:val="single" w:color="auto" w:sz="4" w:space="0"/>
              <w:left w:val="single" w:color="auto" w:sz="4" w:space="0"/>
              <w:bottom w:val="single" w:color="auto" w:sz="4" w:space="0"/>
            </w:tcBorders>
            <w:shd w:val="clear" w:color="auto" w:fill="FFFFFF"/>
            <w:vAlign w:val="center"/>
          </w:tcPr>
          <w:p>
            <w:pPr>
              <w:pStyle w:val="20"/>
              <w:spacing w:line="278" w:lineRule="exact"/>
              <w:ind w:firstLine="0"/>
              <w:jc w:val="center"/>
              <w:rPr>
                <w:color w:val="auto"/>
              </w:rPr>
            </w:pPr>
            <w:r>
              <w:rPr>
                <w:color w:val="auto"/>
              </w:rPr>
              <w:t>家庭经济困难学生认定程序</w:t>
            </w:r>
          </w:p>
        </w:tc>
        <w:tc>
          <w:tcPr>
            <w:tcW w:w="6095" w:type="dxa"/>
            <w:tcBorders>
              <w:top w:val="single" w:color="auto" w:sz="4" w:space="0"/>
              <w:left w:val="single" w:color="auto" w:sz="4" w:space="0"/>
              <w:bottom w:val="single" w:color="auto" w:sz="4" w:space="0"/>
            </w:tcBorders>
            <w:shd w:val="clear" w:color="auto" w:fill="FFFFFF"/>
            <w:vAlign w:val="center"/>
          </w:tcPr>
          <w:p>
            <w:pPr>
              <w:pStyle w:val="20"/>
              <w:spacing w:line="283" w:lineRule="exact"/>
              <w:ind w:firstLine="0"/>
              <w:jc w:val="both"/>
              <w:rPr>
                <w:color w:val="auto"/>
              </w:rPr>
            </w:pPr>
            <w:r>
              <w:rPr>
                <w:color w:val="auto"/>
              </w:rPr>
              <w:t>困难学生提出申请</w:t>
            </w:r>
            <w:r>
              <w:rPr>
                <w:rFonts w:hint="eastAsia"/>
                <w:color w:val="auto"/>
              </w:rPr>
              <w:t>→</w:t>
            </w:r>
            <w:r>
              <w:rPr>
                <w:color w:val="auto"/>
              </w:rPr>
              <w:t>辅导员审核贫困证明</w:t>
            </w:r>
            <w:r>
              <w:rPr>
                <w:rFonts w:hint="eastAsia"/>
                <w:color w:val="auto"/>
              </w:rPr>
              <w:t>→</w:t>
            </w:r>
            <w:r>
              <w:rPr>
                <w:color w:val="auto"/>
              </w:rPr>
              <w:t>发给符合条件的学生认定申请表（新生另需要家庭经济状况调查表）</w:t>
            </w:r>
            <w:r>
              <w:rPr>
                <w:rFonts w:hint="eastAsia"/>
                <w:color w:val="auto"/>
              </w:rPr>
              <w:t>→</w:t>
            </w:r>
            <w:r>
              <w:rPr>
                <w:color w:val="auto"/>
              </w:rPr>
              <w:t>班级评议小组认定</w:t>
            </w:r>
            <w:r>
              <w:rPr>
                <w:rFonts w:hint="eastAsia"/>
                <w:color w:val="auto"/>
              </w:rPr>
              <w:t>→</w:t>
            </w:r>
            <w:r>
              <w:rPr>
                <w:color w:val="auto"/>
              </w:rPr>
              <w:t>学院工作小组认定</w:t>
            </w:r>
            <w:r>
              <w:rPr>
                <w:rFonts w:hint="eastAsia"/>
                <w:color w:val="auto"/>
              </w:rPr>
              <w:t>→</w:t>
            </w:r>
            <w:r>
              <w:rPr>
                <w:color w:val="auto"/>
              </w:rPr>
              <w:t>学院将困难学生信息输入困难学生库后上报学生工作处邛学作小组审核。</w:t>
            </w:r>
          </w:p>
        </w:tc>
        <w:tc>
          <w:tcPr>
            <w:tcW w:w="1559"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rPr>
            </w:pPr>
            <w:r>
              <w:rPr>
                <w:color w:val="auto"/>
              </w:rPr>
              <w:t>学院、学生工作处</w:t>
            </w:r>
          </w:p>
        </w:tc>
        <w:tc>
          <w:tcPr>
            <w:tcW w:w="1843"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rPr>
            </w:pPr>
            <w:r>
              <w:rPr>
                <w:color w:val="auto"/>
              </w:rPr>
              <w:t>每学期初</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78" w:lineRule="exact"/>
              <w:ind w:firstLine="0"/>
              <w:jc w:val="center"/>
              <w:rPr>
                <w:color w:val="auto"/>
              </w:rPr>
            </w:pPr>
            <w:r>
              <w:rPr>
                <w:color w:val="auto"/>
              </w:rPr>
              <w:t>学院办公室</w:t>
            </w:r>
          </w:p>
        </w:tc>
      </w:tr>
    </w:tbl>
    <w:p>
      <w:pPr>
        <w:rPr>
          <w:color w:val="auto"/>
        </w:rPr>
        <w:sectPr>
          <w:headerReference r:id="rId80" w:type="default"/>
          <w:footerReference r:id="rId82" w:type="default"/>
          <w:headerReference r:id="rId81" w:type="even"/>
          <w:footerReference r:id="rId83" w:type="even"/>
          <w:pgSz w:w="15082" w:h="9746" w:orient="landscape"/>
          <w:pgMar w:top="1043" w:right="652" w:bottom="987" w:left="663" w:header="0" w:footer="324" w:gutter="0"/>
          <w:pgNumType w:fmt="decimal"/>
          <w:cols w:space="720" w:num="1"/>
          <w:docGrid w:linePitch="360" w:charSpace="0"/>
        </w:sectPr>
      </w:pPr>
    </w:p>
    <w:tbl>
      <w:tblPr>
        <w:tblStyle w:val="6"/>
        <w:tblW w:w="0" w:type="auto"/>
        <w:jc w:val="center"/>
        <w:tblLayout w:type="fixed"/>
        <w:tblCellMar>
          <w:top w:w="0" w:type="dxa"/>
          <w:left w:w="10" w:type="dxa"/>
          <w:bottom w:w="0" w:type="dxa"/>
          <w:right w:w="10" w:type="dxa"/>
        </w:tblCellMar>
      </w:tblPr>
      <w:tblGrid>
        <w:gridCol w:w="523"/>
        <w:gridCol w:w="1584"/>
        <w:gridCol w:w="5968"/>
        <w:gridCol w:w="1559"/>
        <w:gridCol w:w="1886"/>
        <w:gridCol w:w="1091"/>
      </w:tblGrid>
      <w:tr>
        <w:tblPrEx>
          <w:tblCellMar>
            <w:top w:w="0" w:type="dxa"/>
            <w:left w:w="10" w:type="dxa"/>
            <w:bottom w:w="0" w:type="dxa"/>
            <w:right w:w="10" w:type="dxa"/>
          </w:tblCellMar>
        </w:tblPrEx>
        <w:trPr>
          <w:trHeight w:val="331" w:hRule="exact"/>
          <w:jc w:val="center"/>
        </w:trPr>
        <w:tc>
          <w:tcPr>
            <w:tcW w:w="523"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序号</w:t>
            </w:r>
          </w:p>
        </w:tc>
        <w:tc>
          <w:tcPr>
            <w:tcW w:w="1584"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事务</w:t>
            </w:r>
          </w:p>
        </w:tc>
        <w:tc>
          <w:tcPr>
            <w:tcW w:w="5968"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流程</w:t>
            </w:r>
          </w:p>
        </w:tc>
        <w:tc>
          <w:tcPr>
            <w:tcW w:w="1559"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相关部门</w:t>
            </w:r>
          </w:p>
        </w:tc>
        <w:tc>
          <w:tcPr>
            <w:tcW w:w="1886" w:type="dxa"/>
            <w:tcBorders>
              <w:top w:val="single" w:color="auto" w:sz="4" w:space="0"/>
              <w:left w:val="single" w:color="auto" w:sz="4" w:space="0"/>
            </w:tcBorders>
            <w:shd w:val="clear" w:color="auto" w:fill="FFFFFF"/>
            <w:vAlign w:val="bottom"/>
          </w:tcPr>
          <w:p>
            <w:pPr>
              <w:pStyle w:val="20"/>
              <w:spacing w:line="240" w:lineRule="auto"/>
              <w:ind w:firstLine="0"/>
              <w:jc w:val="center"/>
              <w:rPr>
                <w:color w:val="auto"/>
              </w:rPr>
            </w:pPr>
            <w:r>
              <w:rPr>
                <w:color w:val="auto"/>
              </w:rPr>
              <w:t>办理时间</w:t>
            </w:r>
          </w:p>
        </w:tc>
        <w:tc>
          <w:tcPr>
            <w:tcW w:w="1091" w:type="dxa"/>
            <w:tcBorders>
              <w:top w:val="single" w:color="auto" w:sz="4" w:space="0"/>
              <w:left w:val="single" w:color="auto" w:sz="4" w:space="0"/>
              <w:right w:val="single" w:color="auto" w:sz="4" w:space="0"/>
            </w:tcBorders>
            <w:shd w:val="clear" w:color="auto" w:fill="FFFFFF"/>
            <w:vAlign w:val="bottom"/>
          </w:tcPr>
          <w:p>
            <w:pPr>
              <w:pStyle w:val="20"/>
              <w:spacing w:line="240" w:lineRule="auto"/>
              <w:ind w:firstLine="0"/>
              <w:jc w:val="center"/>
              <w:rPr>
                <w:color w:val="auto"/>
              </w:rPr>
            </w:pPr>
            <w:r>
              <w:rPr>
                <w:color w:val="auto"/>
              </w:rPr>
              <w:t>办理地点</w:t>
            </w:r>
          </w:p>
        </w:tc>
      </w:tr>
      <w:tr>
        <w:tblPrEx>
          <w:tblCellMar>
            <w:top w:w="0" w:type="dxa"/>
            <w:left w:w="10" w:type="dxa"/>
            <w:bottom w:w="0" w:type="dxa"/>
            <w:right w:w="10" w:type="dxa"/>
          </w:tblCellMar>
        </w:tblPrEx>
        <w:trPr>
          <w:trHeight w:val="815"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9</w:t>
            </w:r>
          </w:p>
        </w:tc>
        <w:tc>
          <w:tcPr>
            <w:tcW w:w="1584"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学生转专业</w:t>
            </w:r>
          </w:p>
        </w:tc>
        <w:tc>
          <w:tcPr>
            <w:tcW w:w="5968" w:type="dxa"/>
            <w:tcBorders>
              <w:top w:val="single" w:color="auto" w:sz="4" w:space="0"/>
              <w:left w:val="single" w:color="auto" w:sz="4" w:space="0"/>
            </w:tcBorders>
            <w:shd w:val="clear" w:color="auto" w:fill="FFFFFF"/>
            <w:vAlign w:val="bottom"/>
          </w:tcPr>
          <w:p>
            <w:pPr>
              <w:pStyle w:val="20"/>
              <w:spacing w:line="281" w:lineRule="exact"/>
              <w:ind w:firstLine="0"/>
              <w:jc w:val="both"/>
              <w:rPr>
                <w:color w:val="auto"/>
              </w:rPr>
            </w:pPr>
            <w:r>
              <w:rPr>
                <w:color w:val="auto"/>
              </w:rPr>
              <w:t>学生填写《院内转专业申请单》持本人</w:t>
            </w:r>
            <w:r>
              <w:rPr>
                <w:color w:val="auto"/>
                <w:lang w:val="zh-CN" w:eastAsia="zh-CN" w:bidi="zh-CN"/>
              </w:rPr>
              <w:t>“转</w:t>
            </w:r>
            <w:r>
              <w:rPr>
                <w:color w:val="auto"/>
              </w:rPr>
              <w:t>专业申请书</w:t>
            </w:r>
            <w:r>
              <w:rPr>
                <w:color w:val="auto"/>
                <w:lang w:val="zh-CN" w:eastAsia="zh-CN" w:bidi="zh-CN"/>
              </w:rPr>
              <w:t>”，打</w:t>
            </w:r>
            <w:r>
              <w:rPr>
                <w:color w:val="auto"/>
              </w:rPr>
              <w:t>印本人</w:t>
            </w:r>
            <w:r>
              <w:rPr>
                <w:color w:val="auto"/>
                <w:lang w:val="zh-CN" w:eastAsia="zh-CN" w:bidi="zh-CN"/>
              </w:rPr>
              <w:t>“简</w:t>
            </w:r>
            <w:r>
              <w:rPr>
                <w:color w:val="auto"/>
              </w:rPr>
              <w:t>易成绩单”递交各学院</w:t>
            </w:r>
            <w:r>
              <w:rPr>
                <w:rFonts w:hint="eastAsia"/>
                <w:color w:val="auto"/>
              </w:rPr>
              <w:t>→</w:t>
            </w:r>
            <w:r>
              <w:rPr>
                <w:color w:val="auto"/>
              </w:rPr>
              <w:t>转出学院公示</w:t>
            </w:r>
            <w:r>
              <w:rPr>
                <w:rFonts w:hint="eastAsia"/>
                <w:color w:val="auto"/>
              </w:rPr>
              <w:t>→</w:t>
            </w:r>
            <w:r>
              <w:rPr>
                <w:color w:val="auto"/>
              </w:rPr>
              <w:t>转入学院笔试、面试转专业条件及详情请咨询学院教务秘书</w:t>
            </w:r>
          </w:p>
        </w:tc>
        <w:tc>
          <w:tcPr>
            <w:tcW w:w="1559"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学院、教学科研处</w:t>
            </w:r>
          </w:p>
        </w:tc>
        <w:tc>
          <w:tcPr>
            <w:tcW w:w="188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大一下学期</w:t>
            </w:r>
          </w:p>
        </w:tc>
        <w:tc>
          <w:tcPr>
            <w:tcW w:w="1091" w:type="dxa"/>
            <w:tcBorders>
              <w:top w:val="single" w:color="auto" w:sz="4" w:space="0"/>
              <w:left w:val="single" w:color="auto" w:sz="4" w:space="0"/>
              <w:right w:val="single" w:color="auto" w:sz="4" w:space="0"/>
            </w:tcBorders>
            <w:shd w:val="clear" w:color="auto" w:fill="FFFFFF"/>
          </w:tcPr>
          <w:p>
            <w:pPr>
              <w:rPr>
                <w:color w:val="auto"/>
                <w:sz w:val="10"/>
                <w:szCs w:val="10"/>
              </w:rPr>
            </w:pPr>
          </w:p>
        </w:tc>
      </w:tr>
      <w:tr>
        <w:tblPrEx>
          <w:tblCellMar>
            <w:top w:w="0" w:type="dxa"/>
            <w:left w:w="10" w:type="dxa"/>
            <w:bottom w:w="0" w:type="dxa"/>
            <w:right w:w="10" w:type="dxa"/>
          </w:tblCellMar>
        </w:tblPrEx>
        <w:trPr>
          <w:trHeight w:val="557"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10</w:t>
            </w:r>
          </w:p>
        </w:tc>
        <w:tc>
          <w:tcPr>
            <w:tcW w:w="1584"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color w:val="auto"/>
              </w:rPr>
              <w:t>学生处分申诉</w:t>
            </w:r>
          </w:p>
        </w:tc>
        <w:tc>
          <w:tcPr>
            <w:tcW w:w="5968" w:type="dxa"/>
            <w:tcBorders>
              <w:top w:val="single" w:color="auto" w:sz="4" w:space="0"/>
              <w:left w:val="single" w:color="auto" w:sz="4" w:space="0"/>
            </w:tcBorders>
            <w:shd w:val="clear" w:color="auto" w:fill="FFFFFF"/>
            <w:vAlign w:val="bottom"/>
          </w:tcPr>
          <w:p>
            <w:pPr>
              <w:pStyle w:val="20"/>
              <w:spacing w:line="278" w:lineRule="exact"/>
              <w:ind w:firstLine="0"/>
              <w:jc w:val="both"/>
              <w:rPr>
                <w:color w:val="auto"/>
              </w:rPr>
            </w:pPr>
            <w:r>
              <w:rPr>
                <w:color w:val="auto"/>
              </w:rPr>
              <w:t>在接到处分决定或处理意见</w:t>
            </w:r>
            <w:r>
              <w:rPr>
                <w:rFonts w:ascii="Times New Roman" w:hAnsi="Times New Roman"/>
                <w:color w:val="auto"/>
                <w:sz w:val="20"/>
                <w:szCs w:val="17"/>
              </w:rPr>
              <w:t>5</w:t>
            </w:r>
            <w:r>
              <w:rPr>
                <w:color w:val="auto"/>
              </w:rPr>
              <w:t>日内提交书面申请并填写《学生申诉登记表》</w:t>
            </w:r>
            <w:r>
              <w:rPr>
                <w:rFonts w:hint="eastAsia"/>
                <w:color w:val="auto"/>
              </w:rPr>
              <w:t>→</w:t>
            </w:r>
            <w:r>
              <w:rPr>
                <w:color w:val="auto"/>
              </w:rPr>
              <w:t>申诉委员会审查</w:t>
            </w:r>
            <w:r>
              <w:rPr>
                <w:rFonts w:hint="eastAsia"/>
                <w:color w:val="auto"/>
              </w:rPr>
              <w:t>→</w:t>
            </w:r>
            <w:r>
              <w:rPr>
                <w:rFonts w:ascii="Times New Roman" w:hAnsi="Times New Roman"/>
                <w:color w:val="auto"/>
                <w:sz w:val="20"/>
                <w:szCs w:val="17"/>
              </w:rPr>
              <w:t>15</w:t>
            </w:r>
            <w:r>
              <w:rPr>
                <w:color w:val="auto"/>
              </w:rPr>
              <w:t>个工作日内答复申诉人</w:t>
            </w:r>
          </w:p>
        </w:tc>
        <w:tc>
          <w:tcPr>
            <w:tcW w:w="1559" w:type="dxa"/>
            <w:tcBorders>
              <w:top w:val="single" w:color="auto" w:sz="4" w:space="0"/>
              <w:left w:val="single" w:color="auto" w:sz="4" w:space="0"/>
            </w:tcBorders>
            <w:shd w:val="clear" w:color="auto" w:fill="FFFFFF"/>
            <w:vAlign w:val="center"/>
          </w:tcPr>
          <w:p>
            <w:pPr>
              <w:pStyle w:val="20"/>
              <w:spacing w:line="278" w:lineRule="exact"/>
              <w:ind w:firstLine="0"/>
              <w:jc w:val="center"/>
              <w:rPr>
                <w:rFonts w:eastAsia="PMingLiU"/>
                <w:color w:val="auto"/>
              </w:rPr>
            </w:pPr>
            <w:r>
              <w:rPr>
                <w:color w:val="auto"/>
              </w:rPr>
              <w:t>申诉学院、公室委员会办</w:t>
            </w:r>
          </w:p>
        </w:tc>
        <w:tc>
          <w:tcPr>
            <w:tcW w:w="1886" w:type="dxa"/>
            <w:tcBorders>
              <w:top w:val="single" w:color="auto" w:sz="4" w:space="0"/>
              <w:left w:val="single" w:color="auto" w:sz="4" w:space="0"/>
            </w:tcBorders>
            <w:shd w:val="clear" w:color="auto" w:fill="FFFFFF"/>
            <w:vAlign w:val="bottom"/>
          </w:tcPr>
          <w:p>
            <w:pPr>
              <w:pStyle w:val="20"/>
              <w:spacing w:after="60" w:line="240" w:lineRule="auto"/>
              <w:ind w:firstLine="320"/>
              <w:rPr>
                <w:rFonts w:eastAsia="PMingLiU"/>
                <w:color w:val="auto"/>
              </w:rPr>
            </w:pPr>
            <w:r>
              <w:rPr>
                <w:color w:val="auto"/>
              </w:rPr>
              <w:t>在接到处分</w:t>
            </w:r>
          </w:p>
          <w:p>
            <w:pPr>
              <w:pStyle w:val="20"/>
              <w:spacing w:after="60" w:line="240" w:lineRule="auto"/>
              <w:ind w:firstLine="320"/>
              <w:rPr>
                <w:color w:val="auto"/>
              </w:rPr>
            </w:pPr>
            <w:r>
              <w:rPr>
                <w:color w:val="auto"/>
              </w:rPr>
              <w:t>决定</w:t>
            </w:r>
            <w:r>
              <w:rPr>
                <w:rFonts w:ascii="Times New Roman" w:hAnsi="Times New Roman"/>
                <w:color w:val="auto"/>
                <w:sz w:val="20"/>
                <w:szCs w:val="17"/>
              </w:rPr>
              <w:t>5</w:t>
            </w:r>
            <w:r>
              <w:rPr>
                <w:color w:val="auto"/>
              </w:rPr>
              <w:t>日内</w:t>
            </w:r>
          </w:p>
        </w:tc>
        <w:tc>
          <w:tcPr>
            <w:tcW w:w="1091" w:type="dxa"/>
            <w:tcBorders>
              <w:top w:val="single" w:color="auto" w:sz="4" w:space="0"/>
              <w:left w:val="single" w:color="auto" w:sz="4" w:space="0"/>
              <w:right w:val="single" w:color="auto" w:sz="4" w:space="0"/>
            </w:tcBorders>
            <w:shd w:val="clear" w:color="auto" w:fill="FFFFFF"/>
            <w:vAlign w:val="bottom"/>
          </w:tcPr>
          <w:p>
            <w:pPr>
              <w:pStyle w:val="20"/>
              <w:spacing w:line="278" w:lineRule="exact"/>
              <w:ind w:firstLine="0"/>
              <w:jc w:val="center"/>
              <w:rPr>
                <w:color w:val="auto"/>
              </w:rPr>
            </w:pPr>
            <w:r>
              <w:rPr>
                <w:color w:val="auto"/>
              </w:rPr>
              <w:t>学生工作处教育学生发展</w:t>
            </w:r>
            <w:r>
              <w:rPr>
                <w:rFonts w:hint="eastAsia"/>
                <w:color w:val="auto"/>
              </w:rPr>
              <w:t>中心</w:t>
            </w:r>
          </w:p>
        </w:tc>
      </w:tr>
      <w:tr>
        <w:tblPrEx>
          <w:tblCellMar>
            <w:top w:w="0" w:type="dxa"/>
            <w:left w:w="10" w:type="dxa"/>
            <w:bottom w:w="0" w:type="dxa"/>
            <w:right w:w="10" w:type="dxa"/>
          </w:tblCellMar>
        </w:tblPrEx>
        <w:trPr>
          <w:trHeight w:val="579"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11</w:t>
            </w:r>
          </w:p>
        </w:tc>
        <w:tc>
          <w:tcPr>
            <w:tcW w:w="1584"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color w:val="auto"/>
              </w:rPr>
              <w:t>缓交学费办理</w:t>
            </w:r>
          </w:p>
        </w:tc>
        <w:tc>
          <w:tcPr>
            <w:tcW w:w="5968" w:type="dxa"/>
            <w:tcBorders>
              <w:top w:val="single" w:color="auto" w:sz="4" w:space="0"/>
              <w:left w:val="single" w:color="auto" w:sz="4" w:space="0"/>
            </w:tcBorders>
            <w:shd w:val="clear" w:color="auto" w:fill="FFFFFF"/>
            <w:vAlign w:val="center"/>
          </w:tcPr>
          <w:p>
            <w:pPr>
              <w:pStyle w:val="20"/>
              <w:spacing w:line="283" w:lineRule="exact"/>
              <w:ind w:firstLine="0"/>
              <w:jc w:val="both"/>
              <w:rPr>
                <w:color w:val="auto"/>
              </w:rPr>
            </w:pPr>
            <w:r>
              <w:rPr>
                <w:color w:val="auto"/>
              </w:rPr>
              <w:t>辅导员处领申请表</w:t>
            </w:r>
            <w:r>
              <w:rPr>
                <w:rFonts w:hint="eastAsia"/>
                <w:color w:val="auto"/>
              </w:rPr>
              <w:t>→</w:t>
            </w:r>
            <w:r>
              <w:rPr>
                <w:color w:val="auto"/>
              </w:rPr>
              <w:t>辅导员审核资格</w:t>
            </w:r>
            <w:r>
              <w:rPr>
                <w:rFonts w:hint="eastAsia"/>
                <w:color w:val="auto"/>
              </w:rPr>
              <w:t>→</w:t>
            </w:r>
            <w:r>
              <w:rPr>
                <w:color w:val="auto"/>
              </w:rPr>
              <w:t>填表后交辅导员</w:t>
            </w:r>
            <w:r>
              <w:rPr>
                <w:rFonts w:hint="eastAsia"/>
                <w:color w:val="auto"/>
              </w:rPr>
              <w:t>→</w:t>
            </w:r>
            <w:r>
              <w:rPr>
                <w:color w:val="auto"/>
              </w:rPr>
              <w:t>学院汇总</w:t>
            </w:r>
            <w:r>
              <w:rPr>
                <w:rFonts w:hint="eastAsia"/>
                <w:color w:val="auto"/>
              </w:rPr>
              <w:t>→</w:t>
            </w:r>
            <w:r>
              <w:rPr>
                <w:color w:val="auto"/>
              </w:rPr>
              <w:t>以表格内次序依次审核办理</w:t>
            </w:r>
          </w:p>
        </w:tc>
        <w:tc>
          <w:tcPr>
            <w:tcW w:w="1559" w:type="dxa"/>
            <w:tcBorders>
              <w:top w:val="single" w:color="auto" w:sz="4" w:space="0"/>
              <w:left w:val="single" w:color="auto" w:sz="4" w:space="0"/>
            </w:tcBorders>
            <w:shd w:val="clear" w:color="auto" w:fill="FFFFFF"/>
            <w:vAlign w:val="center"/>
          </w:tcPr>
          <w:p>
            <w:pPr>
              <w:pStyle w:val="20"/>
              <w:spacing w:line="283" w:lineRule="exact"/>
              <w:ind w:firstLine="0"/>
              <w:jc w:val="center"/>
              <w:rPr>
                <w:color w:val="auto"/>
              </w:rPr>
            </w:pPr>
            <w:r>
              <w:rPr>
                <w:color w:val="auto"/>
              </w:rPr>
              <w:t>学院、学生工作处（团委）财务处</w:t>
            </w:r>
          </w:p>
        </w:tc>
        <w:tc>
          <w:tcPr>
            <w:tcW w:w="1886" w:type="dxa"/>
            <w:tcBorders>
              <w:top w:val="single" w:color="auto" w:sz="4" w:space="0"/>
              <w:left w:val="single" w:color="auto" w:sz="4" w:space="0"/>
            </w:tcBorders>
            <w:shd w:val="clear" w:color="auto" w:fill="FFFFFF"/>
            <w:vAlign w:val="center"/>
          </w:tcPr>
          <w:p>
            <w:pPr>
              <w:pStyle w:val="20"/>
              <w:spacing w:line="322" w:lineRule="exact"/>
              <w:ind w:firstLine="0"/>
              <w:jc w:val="center"/>
              <w:rPr>
                <w:rFonts w:eastAsia="PMingLiU"/>
                <w:color w:val="auto"/>
              </w:rPr>
            </w:pPr>
            <w:r>
              <w:rPr>
                <w:color w:val="auto"/>
              </w:rPr>
              <w:t>每学年的第一学期</w:t>
            </w:r>
          </w:p>
          <w:p>
            <w:pPr>
              <w:pStyle w:val="20"/>
              <w:spacing w:line="322" w:lineRule="exact"/>
              <w:ind w:firstLine="0"/>
              <w:jc w:val="center"/>
              <w:rPr>
                <w:color w:val="auto"/>
              </w:rPr>
            </w:pPr>
            <w:r>
              <w:rPr>
                <w:color w:val="auto"/>
              </w:rPr>
              <w:t>开学后一个月</w:t>
            </w:r>
          </w:p>
        </w:tc>
        <w:tc>
          <w:tcPr>
            <w:tcW w:w="1091" w:type="dxa"/>
            <w:vMerge w:val="restart"/>
            <w:tcBorders>
              <w:top w:val="single" w:color="auto" w:sz="4" w:space="0"/>
              <w:left w:val="single" w:color="auto" w:sz="4" w:space="0"/>
              <w:right w:val="single" w:color="auto" w:sz="4" w:space="0"/>
            </w:tcBorders>
            <w:shd w:val="clear" w:color="auto" w:fill="FFFFFF"/>
            <w:vAlign w:val="center"/>
          </w:tcPr>
          <w:p>
            <w:pPr>
              <w:pStyle w:val="20"/>
              <w:spacing w:line="283" w:lineRule="exact"/>
              <w:ind w:firstLine="0"/>
              <w:jc w:val="center"/>
              <w:rPr>
                <w:color w:val="auto"/>
              </w:rPr>
            </w:pPr>
            <w:r>
              <w:rPr>
                <w:color w:val="auto"/>
              </w:rPr>
              <w:t>各相关部门</w:t>
            </w:r>
          </w:p>
        </w:tc>
      </w:tr>
      <w:tr>
        <w:tblPrEx>
          <w:tblCellMar>
            <w:top w:w="0" w:type="dxa"/>
            <w:left w:w="10" w:type="dxa"/>
            <w:bottom w:w="0" w:type="dxa"/>
            <w:right w:w="10" w:type="dxa"/>
          </w:tblCellMar>
        </w:tblPrEx>
        <w:trPr>
          <w:trHeight w:val="842"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12</w:t>
            </w:r>
          </w:p>
        </w:tc>
        <w:tc>
          <w:tcPr>
            <w:tcW w:w="1584" w:type="dxa"/>
            <w:tcBorders>
              <w:top w:val="single" w:color="auto" w:sz="4" w:space="0"/>
              <w:left w:val="single" w:color="auto" w:sz="4" w:space="0"/>
            </w:tcBorders>
            <w:shd w:val="clear" w:color="auto" w:fill="FFFFFF"/>
            <w:vAlign w:val="center"/>
          </w:tcPr>
          <w:p>
            <w:pPr>
              <w:pStyle w:val="20"/>
              <w:spacing w:line="283" w:lineRule="exact"/>
              <w:ind w:firstLine="0"/>
              <w:jc w:val="center"/>
              <w:rPr>
                <w:color w:val="auto"/>
              </w:rPr>
            </w:pPr>
            <w:r>
              <w:rPr>
                <w:color w:val="auto"/>
              </w:rPr>
              <w:t>校园职场训练营申请与办理</w:t>
            </w:r>
          </w:p>
        </w:tc>
        <w:tc>
          <w:tcPr>
            <w:tcW w:w="5968" w:type="dxa"/>
            <w:tcBorders>
              <w:top w:val="single" w:color="auto" w:sz="4" w:space="0"/>
              <w:left w:val="single" w:color="auto" w:sz="4" w:space="0"/>
            </w:tcBorders>
            <w:shd w:val="clear" w:color="auto" w:fill="FFFFFF"/>
            <w:vAlign w:val="bottom"/>
          </w:tcPr>
          <w:p>
            <w:pPr>
              <w:pStyle w:val="20"/>
              <w:spacing w:line="276" w:lineRule="exact"/>
              <w:ind w:firstLine="0"/>
              <w:jc w:val="both"/>
              <w:rPr>
                <w:color w:val="auto"/>
              </w:rPr>
            </w:pPr>
            <w:r>
              <w:rPr>
                <w:color w:val="auto"/>
              </w:rPr>
              <w:t>在招聘信息所规定的时间内报名</w:t>
            </w:r>
            <w:r>
              <w:rPr>
                <w:rFonts w:hint="eastAsia"/>
                <w:color w:val="auto"/>
              </w:rPr>
              <w:t>→</w:t>
            </w:r>
            <w:r>
              <w:rPr>
                <w:color w:val="auto"/>
              </w:rPr>
              <w:t>填表后由辅导员推荐</w:t>
            </w:r>
            <w:r>
              <w:rPr>
                <w:rFonts w:hint="eastAsia"/>
                <w:color w:val="auto"/>
              </w:rPr>
              <w:t>→</w:t>
            </w:r>
            <w:r>
              <w:rPr>
                <w:color w:val="auto"/>
              </w:rPr>
              <w:t>学院推荐审核</w:t>
            </w:r>
            <w:r>
              <w:rPr>
                <w:rFonts w:hint="eastAsia"/>
                <w:color w:val="auto"/>
              </w:rPr>
              <w:t>→</w:t>
            </w:r>
            <w:r>
              <w:rPr>
                <w:color w:val="auto"/>
              </w:rPr>
              <w:t>学生资助管理中心审核</w:t>
            </w:r>
            <w:r>
              <w:rPr>
                <w:rFonts w:hint="eastAsia"/>
                <w:color w:val="auto"/>
              </w:rPr>
              <w:t>→</w:t>
            </w:r>
            <w:r>
              <w:rPr>
                <w:color w:val="auto"/>
              </w:rPr>
              <w:t>招聘信息所规定的时间内参加面试并交简历</w:t>
            </w:r>
            <w:r>
              <w:rPr>
                <w:rFonts w:hint="eastAsia"/>
                <w:color w:val="auto"/>
              </w:rPr>
              <w:t>→</w:t>
            </w:r>
            <w:r>
              <w:rPr>
                <w:color w:val="auto"/>
              </w:rPr>
              <w:t>录用</w:t>
            </w:r>
            <w:r>
              <w:rPr>
                <w:rFonts w:hint="eastAsia"/>
                <w:color w:val="auto"/>
              </w:rPr>
              <w:t>→</w:t>
            </w:r>
            <w:r>
              <w:rPr>
                <w:color w:val="auto"/>
              </w:rPr>
              <w:t>培训</w:t>
            </w:r>
            <w:r>
              <w:rPr>
                <w:rFonts w:hint="eastAsia"/>
                <w:color w:val="auto"/>
              </w:rPr>
              <w:t>→</w:t>
            </w:r>
            <w:r>
              <w:rPr>
                <w:color w:val="auto"/>
              </w:rPr>
              <w:t>考核</w:t>
            </w:r>
            <w:r>
              <w:rPr>
                <w:rFonts w:hint="eastAsia"/>
                <w:color w:val="auto"/>
              </w:rPr>
              <w:t>→</w:t>
            </w:r>
            <w:r>
              <w:rPr>
                <w:color w:val="auto"/>
              </w:rPr>
              <w:t>合格者颁发聘书（优秀者表彰发证书）</w:t>
            </w:r>
          </w:p>
        </w:tc>
        <w:tc>
          <w:tcPr>
            <w:tcW w:w="1559" w:type="dxa"/>
            <w:tcBorders>
              <w:top w:val="single" w:color="auto" w:sz="4" w:space="0"/>
              <w:left w:val="single" w:color="auto" w:sz="4" w:space="0"/>
            </w:tcBorders>
            <w:shd w:val="clear" w:color="auto" w:fill="FFFFFF"/>
            <w:vAlign w:val="center"/>
          </w:tcPr>
          <w:p>
            <w:pPr>
              <w:pStyle w:val="20"/>
              <w:spacing w:line="283" w:lineRule="exact"/>
              <w:ind w:firstLine="0"/>
              <w:jc w:val="center"/>
              <w:rPr>
                <w:color w:val="auto"/>
              </w:rPr>
            </w:pPr>
            <w:r>
              <w:rPr>
                <w:color w:val="auto"/>
              </w:rPr>
              <w:t>学院、学生工作处各（团委）门用工部</w:t>
            </w:r>
          </w:p>
        </w:tc>
        <w:tc>
          <w:tcPr>
            <w:tcW w:w="1886" w:type="dxa"/>
            <w:tcBorders>
              <w:top w:val="single" w:color="auto" w:sz="4" w:space="0"/>
              <w:left w:val="single" w:color="auto" w:sz="4" w:space="0"/>
            </w:tcBorders>
            <w:shd w:val="clear" w:color="auto" w:fill="FFFFFF"/>
            <w:vAlign w:val="center"/>
          </w:tcPr>
          <w:p>
            <w:pPr>
              <w:pStyle w:val="20"/>
              <w:spacing w:line="293" w:lineRule="exact"/>
              <w:ind w:firstLine="0"/>
              <w:jc w:val="center"/>
              <w:rPr>
                <w:color w:val="auto"/>
              </w:rPr>
            </w:pPr>
            <w:r>
              <w:rPr>
                <w:color w:val="auto"/>
              </w:rPr>
              <w:t>每年</w:t>
            </w:r>
            <w:r>
              <w:rPr>
                <w:rFonts w:ascii="Times New Roman" w:hAnsi="Times New Roman"/>
                <w:color w:val="auto"/>
                <w:sz w:val="20"/>
                <w:szCs w:val="17"/>
              </w:rPr>
              <w:t>3</w:t>
            </w:r>
            <w:r>
              <w:rPr>
                <w:color w:val="auto"/>
              </w:rPr>
              <w:t>月、</w:t>
            </w:r>
            <w:r>
              <w:rPr>
                <w:rFonts w:ascii="Times New Roman" w:hAnsi="Times New Roman"/>
                <w:color w:val="auto"/>
                <w:sz w:val="20"/>
                <w:szCs w:val="17"/>
              </w:rPr>
              <w:t>9</w:t>
            </w:r>
            <w:r>
              <w:rPr>
                <w:color w:val="auto"/>
              </w:rPr>
              <w:t>月份报名、参加双选会</w:t>
            </w:r>
          </w:p>
        </w:tc>
        <w:tc>
          <w:tcPr>
            <w:tcW w:w="1091" w:type="dxa"/>
            <w:vMerge w:val="continue"/>
            <w:tcBorders>
              <w:left w:val="single" w:color="auto" w:sz="4" w:space="0"/>
              <w:right w:val="single" w:color="auto" w:sz="4" w:space="0"/>
            </w:tcBorders>
            <w:shd w:val="clear" w:color="auto" w:fill="FFFFFF"/>
            <w:vAlign w:val="center"/>
          </w:tcPr>
          <w:p>
            <w:pPr>
              <w:rPr>
                <w:color w:val="auto"/>
                <w:lang w:eastAsia="zh-CN"/>
              </w:rPr>
            </w:pPr>
          </w:p>
        </w:tc>
      </w:tr>
      <w:tr>
        <w:tblPrEx>
          <w:tblCellMar>
            <w:top w:w="0" w:type="dxa"/>
            <w:left w:w="10" w:type="dxa"/>
            <w:bottom w:w="0" w:type="dxa"/>
            <w:right w:w="10" w:type="dxa"/>
          </w:tblCellMar>
        </w:tblPrEx>
        <w:trPr>
          <w:trHeight w:val="854"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13</w:t>
            </w:r>
          </w:p>
        </w:tc>
        <w:tc>
          <w:tcPr>
            <w:tcW w:w="1584" w:type="dxa"/>
            <w:tcBorders>
              <w:top w:val="single" w:color="auto" w:sz="4" w:space="0"/>
              <w:left w:val="single" w:color="auto" w:sz="4" w:space="0"/>
            </w:tcBorders>
            <w:shd w:val="clear" w:color="auto" w:fill="FFFFFF"/>
            <w:vAlign w:val="center"/>
          </w:tcPr>
          <w:p>
            <w:pPr>
              <w:pStyle w:val="20"/>
              <w:spacing w:line="240" w:lineRule="auto"/>
              <w:ind w:firstLine="0"/>
              <w:rPr>
                <w:color w:val="auto"/>
              </w:rPr>
            </w:pPr>
            <w:r>
              <w:rPr>
                <w:color w:val="auto"/>
              </w:rPr>
              <w:t>住宿调整相关办理</w:t>
            </w:r>
          </w:p>
        </w:tc>
        <w:tc>
          <w:tcPr>
            <w:tcW w:w="5968" w:type="dxa"/>
            <w:tcBorders>
              <w:top w:val="single" w:color="auto" w:sz="4" w:space="0"/>
              <w:left w:val="single" w:color="auto" w:sz="4" w:space="0"/>
            </w:tcBorders>
            <w:shd w:val="clear" w:color="auto" w:fill="FFFFFF"/>
          </w:tcPr>
          <w:p>
            <w:pPr>
              <w:pStyle w:val="20"/>
              <w:spacing w:line="278" w:lineRule="exact"/>
              <w:ind w:firstLine="0"/>
              <w:jc w:val="both"/>
              <w:rPr>
                <w:rFonts w:eastAsia="PMingLiU"/>
                <w:color w:val="auto"/>
              </w:rPr>
            </w:pPr>
            <w:r>
              <w:rPr>
                <w:color w:val="auto"/>
              </w:rPr>
              <w:t>辅导员处申请</w:t>
            </w:r>
            <w:r>
              <w:rPr>
                <w:rFonts w:hint="eastAsia"/>
                <w:color w:val="auto"/>
              </w:rPr>
              <w:t>→</w:t>
            </w:r>
            <w:r>
              <w:rPr>
                <w:color w:val="auto"/>
              </w:rPr>
              <w:t>辅导员提供情况说明</w:t>
            </w:r>
            <w:r>
              <w:rPr>
                <w:rFonts w:hint="eastAsia"/>
                <w:color w:val="auto"/>
              </w:rPr>
              <w:t>→</w:t>
            </w:r>
            <w:r>
              <w:rPr>
                <w:color w:val="auto"/>
              </w:rPr>
              <w:t>辅导员签批</w:t>
            </w:r>
            <w:r>
              <w:rPr>
                <w:rFonts w:hint="eastAsia"/>
                <w:color w:val="auto"/>
              </w:rPr>
              <w:t>→</w:t>
            </w:r>
            <w:r>
              <w:rPr>
                <w:color w:val="auto"/>
              </w:rPr>
              <w:t>学院签批</w:t>
            </w:r>
            <w:r>
              <w:rPr>
                <w:rFonts w:hint="eastAsia"/>
                <w:color w:val="auto"/>
              </w:rPr>
              <w:t>→</w:t>
            </w:r>
            <w:r>
              <w:rPr>
                <w:color w:val="auto"/>
              </w:rPr>
              <w:t>学生工作处学生事务服务中心审批（本学院内的调整不需到学生工作处审核）</w:t>
            </w:r>
            <w:r>
              <w:rPr>
                <w:rFonts w:hint="eastAsia"/>
                <w:color w:val="auto"/>
              </w:rPr>
              <w:t>→</w:t>
            </w:r>
            <w:r>
              <w:rPr>
                <w:color w:val="auto"/>
              </w:rPr>
              <w:t>学生事务服务大厅登记</w:t>
            </w:r>
            <w:r>
              <w:rPr>
                <w:rFonts w:hint="eastAsia"/>
                <w:color w:val="auto"/>
              </w:rPr>
              <w:t>→</w:t>
            </w:r>
            <w:r>
              <w:rPr>
                <w:color w:val="auto"/>
              </w:rPr>
              <w:t>凭审批表在楼幢宿舍管理员处调整</w:t>
            </w:r>
          </w:p>
        </w:tc>
        <w:tc>
          <w:tcPr>
            <w:tcW w:w="1559" w:type="dxa"/>
            <w:tcBorders>
              <w:top w:val="single" w:color="auto" w:sz="4" w:space="0"/>
              <w:left w:val="single" w:color="auto" w:sz="4" w:space="0"/>
            </w:tcBorders>
            <w:shd w:val="clear" w:color="auto" w:fill="FFFFFF"/>
            <w:vAlign w:val="center"/>
          </w:tcPr>
          <w:p>
            <w:pPr>
              <w:pStyle w:val="20"/>
              <w:spacing w:line="283" w:lineRule="exact"/>
              <w:ind w:firstLine="0"/>
              <w:jc w:val="center"/>
              <w:rPr>
                <w:color w:val="auto"/>
              </w:rPr>
            </w:pPr>
            <w:r>
              <w:rPr>
                <w:color w:val="auto"/>
              </w:rPr>
              <w:t>学院、学生工作处（团委）宿管办</w:t>
            </w:r>
          </w:p>
        </w:tc>
        <w:tc>
          <w:tcPr>
            <w:tcW w:w="1886" w:type="dxa"/>
            <w:tcBorders>
              <w:top w:val="single" w:color="auto" w:sz="4" w:space="0"/>
              <w:left w:val="single" w:color="auto" w:sz="4" w:space="0"/>
            </w:tcBorders>
            <w:shd w:val="clear" w:color="auto" w:fill="FFFFFF"/>
            <w:vAlign w:val="center"/>
          </w:tcPr>
          <w:p>
            <w:pPr>
              <w:pStyle w:val="20"/>
              <w:spacing w:line="274" w:lineRule="exact"/>
              <w:ind w:left="400" w:firstLine="20"/>
              <w:rPr>
                <w:rFonts w:eastAsia="PMingLiU"/>
                <w:color w:val="auto"/>
              </w:rPr>
            </w:pPr>
            <w:r>
              <w:rPr>
                <w:color w:val="auto"/>
              </w:rPr>
              <w:t>办公时间</w:t>
            </w:r>
          </w:p>
          <w:p>
            <w:pPr>
              <w:pStyle w:val="20"/>
              <w:spacing w:line="274" w:lineRule="exact"/>
              <w:ind w:left="400" w:firstLine="20"/>
              <w:rPr>
                <w:color w:val="auto"/>
              </w:rPr>
            </w:pPr>
            <w:r>
              <w:rPr>
                <w:color w:val="auto"/>
              </w:rPr>
              <w:t>随时办理</w:t>
            </w:r>
          </w:p>
        </w:tc>
        <w:tc>
          <w:tcPr>
            <w:tcW w:w="1091" w:type="dxa"/>
            <w:vMerge w:val="continue"/>
            <w:tcBorders>
              <w:left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569"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14</w:t>
            </w:r>
          </w:p>
        </w:tc>
        <w:tc>
          <w:tcPr>
            <w:tcW w:w="1584"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color w:val="auto"/>
              </w:rPr>
              <w:t>校外住宿申请</w:t>
            </w:r>
          </w:p>
        </w:tc>
        <w:tc>
          <w:tcPr>
            <w:tcW w:w="5968" w:type="dxa"/>
            <w:tcBorders>
              <w:top w:val="single" w:color="auto" w:sz="4" w:space="0"/>
              <w:left w:val="single" w:color="auto" w:sz="4" w:space="0"/>
            </w:tcBorders>
            <w:shd w:val="clear" w:color="auto" w:fill="FFFFFF"/>
            <w:vAlign w:val="bottom"/>
          </w:tcPr>
          <w:p>
            <w:pPr>
              <w:pStyle w:val="20"/>
              <w:spacing w:line="283" w:lineRule="exact"/>
              <w:ind w:firstLine="0"/>
              <w:jc w:val="both"/>
              <w:rPr>
                <w:rFonts w:eastAsia="PMingLiU"/>
                <w:color w:val="auto"/>
              </w:rPr>
            </w:pPr>
            <w:r>
              <w:rPr>
                <w:color w:val="auto"/>
              </w:rPr>
              <w:t>辅导员处申请</w:t>
            </w:r>
            <w:r>
              <w:rPr>
                <w:rFonts w:hint="eastAsia"/>
                <w:color w:val="auto"/>
              </w:rPr>
              <w:t>→</w:t>
            </w:r>
            <w:r>
              <w:rPr>
                <w:color w:val="auto"/>
              </w:rPr>
              <w:t>辅导员提供情况说明</w:t>
            </w:r>
            <w:r>
              <w:rPr>
                <w:rFonts w:hint="eastAsia"/>
                <w:color w:val="auto"/>
              </w:rPr>
              <w:t>→</w:t>
            </w:r>
            <w:r>
              <w:rPr>
                <w:color w:val="auto"/>
              </w:rPr>
              <w:t>辅导员签批</w:t>
            </w:r>
            <w:r>
              <w:rPr>
                <w:rFonts w:hint="eastAsia"/>
                <w:color w:val="auto"/>
              </w:rPr>
              <w:t>→</w:t>
            </w:r>
            <w:r>
              <w:rPr>
                <w:color w:val="auto"/>
              </w:rPr>
              <w:t>学院签批</w:t>
            </w:r>
            <w:r>
              <w:rPr>
                <w:rFonts w:hint="eastAsia"/>
                <w:color w:val="auto"/>
              </w:rPr>
              <w:t>→</w:t>
            </w:r>
            <w:r>
              <w:rPr>
                <w:color w:val="auto"/>
              </w:rPr>
              <w:t>学生工作处（团委）审批</w:t>
            </w:r>
            <w:r>
              <w:rPr>
                <w:rFonts w:hint="eastAsia"/>
                <w:color w:val="auto"/>
              </w:rPr>
              <w:t>→</w:t>
            </w:r>
            <w:r>
              <w:rPr>
                <w:color w:val="auto"/>
              </w:rPr>
              <w:t>宿舍管理办公室盖章、退床位</w:t>
            </w:r>
          </w:p>
        </w:tc>
        <w:tc>
          <w:tcPr>
            <w:tcW w:w="1559" w:type="dxa"/>
            <w:tcBorders>
              <w:top w:val="single" w:color="auto" w:sz="4" w:space="0"/>
              <w:left w:val="single" w:color="auto" w:sz="4" w:space="0"/>
            </w:tcBorders>
            <w:shd w:val="clear" w:color="auto" w:fill="FFFFFF"/>
            <w:vAlign w:val="bottom"/>
          </w:tcPr>
          <w:p>
            <w:pPr>
              <w:pStyle w:val="20"/>
              <w:spacing w:after="60" w:line="240" w:lineRule="auto"/>
              <w:ind w:firstLine="0"/>
              <w:jc w:val="center"/>
              <w:rPr>
                <w:color w:val="auto"/>
              </w:rPr>
            </w:pPr>
            <w:r>
              <w:rPr>
                <w:color w:val="auto"/>
              </w:rPr>
              <w:t>学院、学生工作处</w:t>
            </w:r>
          </w:p>
          <w:p>
            <w:pPr>
              <w:pStyle w:val="20"/>
              <w:spacing w:line="240" w:lineRule="auto"/>
              <w:ind w:firstLine="0"/>
              <w:jc w:val="center"/>
              <w:rPr>
                <w:color w:val="auto"/>
              </w:rPr>
            </w:pPr>
            <w:r>
              <w:rPr>
                <w:color w:val="auto"/>
              </w:rPr>
              <w:t>（团委）宿管办</w:t>
            </w:r>
          </w:p>
        </w:tc>
        <w:tc>
          <w:tcPr>
            <w:tcW w:w="1886" w:type="dxa"/>
            <w:tcBorders>
              <w:top w:val="single" w:color="auto" w:sz="4" w:space="0"/>
              <w:left w:val="single" w:color="auto" w:sz="4" w:space="0"/>
            </w:tcBorders>
            <w:shd w:val="clear" w:color="auto" w:fill="FFFFFF"/>
            <w:vAlign w:val="bottom"/>
          </w:tcPr>
          <w:p>
            <w:pPr>
              <w:pStyle w:val="20"/>
              <w:spacing w:line="283" w:lineRule="exact"/>
              <w:ind w:left="400" w:firstLine="20"/>
              <w:rPr>
                <w:rFonts w:eastAsia="PMingLiU"/>
                <w:color w:val="auto"/>
              </w:rPr>
            </w:pPr>
            <w:r>
              <w:rPr>
                <w:color w:val="auto"/>
              </w:rPr>
              <w:t>办公时间</w:t>
            </w:r>
          </w:p>
          <w:p>
            <w:pPr>
              <w:pStyle w:val="20"/>
              <w:spacing w:line="283" w:lineRule="exact"/>
              <w:ind w:left="400" w:firstLine="20"/>
              <w:rPr>
                <w:color w:val="auto"/>
              </w:rPr>
            </w:pPr>
            <w:r>
              <w:rPr>
                <w:color w:val="auto"/>
              </w:rPr>
              <w:t>随时办理</w:t>
            </w:r>
          </w:p>
        </w:tc>
        <w:tc>
          <w:tcPr>
            <w:tcW w:w="1091" w:type="dxa"/>
            <w:vMerge w:val="continue"/>
            <w:tcBorders>
              <w:left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1130"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15</w:t>
            </w:r>
          </w:p>
        </w:tc>
        <w:tc>
          <w:tcPr>
            <w:tcW w:w="1584" w:type="dxa"/>
            <w:tcBorders>
              <w:top w:val="single" w:color="auto" w:sz="4" w:space="0"/>
              <w:left w:val="single" w:color="auto" w:sz="4" w:space="0"/>
            </w:tcBorders>
            <w:shd w:val="clear" w:color="auto" w:fill="FFFFFF"/>
            <w:vAlign w:val="center"/>
          </w:tcPr>
          <w:p>
            <w:pPr>
              <w:pStyle w:val="20"/>
              <w:spacing w:line="281" w:lineRule="exact"/>
              <w:ind w:firstLine="0"/>
              <w:jc w:val="center"/>
              <w:rPr>
                <w:color w:val="auto"/>
              </w:rPr>
            </w:pPr>
            <w:r>
              <w:rPr>
                <w:color w:val="auto"/>
              </w:rPr>
              <w:t>学生出国（境）成绩证明、推荐信办理流程</w:t>
            </w:r>
          </w:p>
        </w:tc>
        <w:tc>
          <w:tcPr>
            <w:tcW w:w="5968" w:type="dxa"/>
            <w:tcBorders>
              <w:top w:val="single" w:color="auto" w:sz="4" w:space="0"/>
              <w:left w:val="single" w:color="auto" w:sz="4" w:space="0"/>
            </w:tcBorders>
            <w:shd w:val="clear" w:color="auto" w:fill="FFFFFF"/>
            <w:vAlign w:val="center"/>
          </w:tcPr>
          <w:p>
            <w:pPr>
              <w:pStyle w:val="20"/>
              <w:spacing w:line="280" w:lineRule="exact"/>
              <w:ind w:firstLine="0"/>
              <w:jc w:val="both"/>
              <w:rPr>
                <w:rFonts w:eastAsia="PMingLiU"/>
                <w:color w:val="auto"/>
              </w:rPr>
            </w:pPr>
            <w:r>
              <w:rPr>
                <w:color w:val="auto"/>
              </w:rPr>
              <w:t>学院教务秘书处打印成绩单，加盖公章</w:t>
            </w:r>
            <w:r>
              <w:rPr>
                <w:rFonts w:hint="eastAsia"/>
                <w:color w:val="auto"/>
              </w:rPr>
              <w:t>→</w:t>
            </w:r>
            <w:r>
              <w:rPr>
                <w:color w:val="auto"/>
              </w:rPr>
              <w:t>学院拟推荐信（不需推荐信者此环节省去）</w:t>
            </w:r>
            <w:r>
              <w:rPr>
                <w:rFonts w:hint="eastAsia"/>
                <w:color w:val="auto"/>
              </w:rPr>
              <w:t>→</w:t>
            </w:r>
            <w:r>
              <w:rPr>
                <w:color w:val="auto"/>
              </w:rPr>
              <w:t>根据加盖公章的成绩单，自己办妥外文译本</w:t>
            </w:r>
            <w:r>
              <w:rPr>
                <w:rFonts w:hint="eastAsia"/>
                <w:color w:val="auto"/>
              </w:rPr>
              <w:t>→</w:t>
            </w:r>
            <w:r>
              <w:rPr>
                <w:color w:val="auto"/>
              </w:rPr>
              <w:t>中文与外文译本一并送到学院进行验证</w:t>
            </w:r>
            <w:r>
              <w:rPr>
                <w:rFonts w:hint="eastAsia"/>
                <w:color w:val="auto"/>
              </w:rPr>
              <w:t>→</w:t>
            </w:r>
            <w:r>
              <w:rPr>
                <w:color w:val="auto"/>
              </w:rPr>
              <w:t>持验证通知到学生事务服务中心加盖学院学生工作处公章</w:t>
            </w:r>
          </w:p>
        </w:tc>
        <w:tc>
          <w:tcPr>
            <w:tcW w:w="1559" w:type="dxa"/>
            <w:tcBorders>
              <w:top w:val="single" w:color="auto" w:sz="4" w:space="0"/>
              <w:left w:val="single" w:color="auto" w:sz="4" w:space="0"/>
            </w:tcBorders>
            <w:shd w:val="clear" w:color="auto" w:fill="FFFFFF"/>
            <w:vAlign w:val="center"/>
          </w:tcPr>
          <w:p>
            <w:pPr>
              <w:pStyle w:val="20"/>
              <w:spacing w:line="278" w:lineRule="exact"/>
              <w:ind w:firstLine="0"/>
              <w:jc w:val="center"/>
              <w:rPr>
                <w:color w:val="auto"/>
              </w:rPr>
            </w:pPr>
            <w:r>
              <w:rPr>
                <w:color w:val="auto"/>
              </w:rPr>
              <w:t>学院、教学科研处</w:t>
            </w:r>
            <w:r>
              <w:rPr>
                <w:rFonts w:hint="eastAsia"/>
                <w:color w:val="auto"/>
              </w:rPr>
              <w:t>、</w:t>
            </w:r>
            <w:r>
              <w:rPr>
                <w:color w:val="auto"/>
              </w:rPr>
              <w:t>学生工作处</w:t>
            </w:r>
          </w:p>
          <w:p>
            <w:pPr>
              <w:pStyle w:val="20"/>
              <w:spacing w:line="278" w:lineRule="exact"/>
              <w:ind w:firstLine="0"/>
              <w:jc w:val="center"/>
              <w:rPr>
                <w:color w:val="auto"/>
              </w:rPr>
            </w:pPr>
            <w:r>
              <w:rPr>
                <w:color w:val="auto"/>
              </w:rPr>
              <w:t>（团委）</w:t>
            </w:r>
          </w:p>
        </w:tc>
        <w:tc>
          <w:tcPr>
            <w:tcW w:w="1886" w:type="dxa"/>
            <w:tcBorders>
              <w:top w:val="single" w:color="auto" w:sz="4" w:space="0"/>
              <w:left w:val="single" w:color="auto" w:sz="4" w:space="0"/>
            </w:tcBorders>
            <w:shd w:val="clear" w:color="auto" w:fill="FFFFFF"/>
            <w:vAlign w:val="center"/>
          </w:tcPr>
          <w:p>
            <w:pPr>
              <w:pStyle w:val="20"/>
              <w:spacing w:line="283" w:lineRule="exact"/>
              <w:ind w:left="400" w:firstLine="20"/>
              <w:rPr>
                <w:rFonts w:eastAsia="PMingLiU"/>
                <w:color w:val="auto"/>
              </w:rPr>
            </w:pPr>
            <w:r>
              <w:rPr>
                <w:color w:val="auto"/>
              </w:rPr>
              <w:t>办公时间</w:t>
            </w:r>
          </w:p>
          <w:p>
            <w:pPr>
              <w:pStyle w:val="20"/>
              <w:spacing w:line="283" w:lineRule="exact"/>
              <w:ind w:left="400" w:firstLine="20"/>
              <w:rPr>
                <w:color w:val="auto"/>
              </w:rPr>
            </w:pPr>
            <w:r>
              <w:rPr>
                <w:color w:val="auto"/>
              </w:rPr>
              <w:t>随时办理</w:t>
            </w:r>
          </w:p>
        </w:tc>
        <w:tc>
          <w:tcPr>
            <w:tcW w:w="1091" w:type="dxa"/>
            <w:vMerge w:val="continue"/>
            <w:tcBorders>
              <w:left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907" w:hRule="exact"/>
          <w:jc w:val="center"/>
        </w:trPr>
        <w:tc>
          <w:tcPr>
            <w:tcW w:w="523"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16</w:t>
            </w:r>
          </w:p>
        </w:tc>
        <w:tc>
          <w:tcPr>
            <w:tcW w:w="1584" w:type="dxa"/>
            <w:tcBorders>
              <w:top w:val="single" w:color="auto" w:sz="4" w:space="0"/>
              <w:left w:val="single" w:color="auto" w:sz="4" w:space="0"/>
            </w:tcBorders>
            <w:shd w:val="clear" w:color="auto" w:fill="FFFFFF"/>
            <w:vAlign w:val="center"/>
          </w:tcPr>
          <w:p>
            <w:pPr>
              <w:pStyle w:val="20"/>
              <w:spacing w:line="240" w:lineRule="auto"/>
              <w:ind w:firstLine="180"/>
              <w:rPr>
                <w:color w:val="auto"/>
              </w:rPr>
            </w:pPr>
            <w:r>
              <w:rPr>
                <w:color w:val="auto"/>
              </w:rPr>
              <w:t>延长学习年限</w:t>
            </w:r>
          </w:p>
        </w:tc>
        <w:tc>
          <w:tcPr>
            <w:tcW w:w="5968" w:type="dxa"/>
            <w:tcBorders>
              <w:top w:val="single" w:color="auto" w:sz="4" w:space="0"/>
              <w:left w:val="single" w:color="auto" w:sz="4" w:space="0"/>
            </w:tcBorders>
            <w:shd w:val="clear" w:color="auto" w:fill="FFFFFF"/>
            <w:vAlign w:val="center"/>
          </w:tcPr>
          <w:p>
            <w:pPr>
              <w:pStyle w:val="20"/>
              <w:spacing w:line="240" w:lineRule="auto"/>
              <w:ind w:firstLine="0"/>
              <w:jc w:val="both"/>
              <w:rPr>
                <w:color w:val="auto"/>
              </w:rPr>
            </w:pPr>
            <w:r>
              <w:rPr>
                <w:color w:val="auto"/>
              </w:rPr>
              <w:t>开学初两周内教务秘书处领表</w:t>
            </w:r>
            <w:r>
              <w:rPr>
                <w:rFonts w:hint="eastAsia"/>
                <w:color w:val="auto"/>
              </w:rPr>
              <w:t>→</w:t>
            </w:r>
            <w:r>
              <w:rPr>
                <w:color w:val="auto"/>
              </w:rPr>
              <w:t>家长签字</w:t>
            </w:r>
            <w:r>
              <w:rPr>
                <w:rFonts w:hint="eastAsia"/>
                <w:color w:val="auto"/>
              </w:rPr>
              <w:t>→</w:t>
            </w:r>
            <w:r>
              <w:rPr>
                <w:color w:val="auto"/>
              </w:rPr>
              <w:t>以手续单序号依次办理</w:t>
            </w:r>
          </w:p>
        </w:tc>
        <w:tc>
          <w:tcPr>
            <w:tcW w:w="1559" w:type="dxa"/>
            <w:tcBorders>
              <w:top w:val="single" w:color="auto" w:sz="4" w:space="0"/>
              <w:left w:val="single" w:color="auto" w:sz="4" w:space="0"/>
            </w:tcBorders>
            <w:shd w:val="clear" w:color="auto" w:fill="FFFFFF"/>
          </w:tcPr>
          <w:p>
            <w:pPr>
              <w:pStyle w:val="20"/>
              <w:spacing w:line="281" w:lineRule="exact"/>
              <w:ind w:firstLine="0"/>
              <w:jc w:val="center"/>
              <w:rPr>
                <w:color w:val="auto"/>
                <w:lang w:eastAsia="zh-CN"/>
              </w:rPr>
            </w:pPr>
            <w:r>
              <w:rPr>
                <w:color w:val="auto"/>
              </w:rPr>
              <w:t>学院、教学科研处、财务处学生工作处（团委）、</w:t>
            </w:r>
            <w:r>
              <w:rPr>
                <w:rFonts w:hint="eastAsia"/>
                <w:color w:val="auto"/>
                <w:lang w:eastAsia="zh-CN"/>
              </w:rPr>
              <w:t>后勤保卫处</w:t>
            </w:r>
          </w:p>
        </w:tc>
        <w:tc>
          <w:tcPr>
            <w:tcW w:w="1886" w:type="dxa"/>
            <w:tcBorders>
              <w:top w:val="single" w:color="auto" w:sz="4" w:space="0"/>
              <w:left w:val="single" w:color="auto" w:sz="4" w:space="0"/>
            </w:tcBorders>
            <w:shd w:val="clear" w:color="auto" w:fill="FFFFFF"/>
            <w:vAlign w:val="center"/>
          </w:tcPr>
          <w:p>
            <w:pPr>
              <w:pStyle w:val="20"/>
              <w:spacing w:line="240" w:lineRule="auto"/>
              <w:ind w:firstLine="0"/>
              <w:jc w:val="center"/>
              <w:rPr>
                <w:color w:val="auto"/>
              </w:rPr>
            </w:pPr>
            <w:r>
              <w:rPr>
                <w:color w:val="auto"/>
              </w:rPr>
              <w:t>开学初两周内</w:t>
            </w:r>
          </w:p>
        </w:tc>
        <w:tc>
          <w:tcPr>
            <w:tcW w:w="1091" w:type="dxa"/>
            <w:vMerge w:val="continue"/>
            <w:tcBorders>
              <w:left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917" w:hRule="exact"/>
          <w:jc w:val="center"/>
        </w:trPr>
        <w:tc>
          <w:tcPr>
            <w:tcW w:w="523"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jc w:val="center"/>
              <w:rPr>
                <w:color w:val="auto"/>
                <w:sz w:val="17"/>
                <w:szCs w:val="17"/>
              </w:rPr>
            </w:pPr>
            <w:r>
              <w:rPr>
                <w:rFonts w:ascii="Times New Roman" w:hAnsi="Times New Roman"/>
                <w:color w:val="auto"/>
                <w:sz w:val="20"/>
                <w:szCs w:val="17"/>
              </w:rPr>
              <w:t>17</w:t>
            </w:r>
          </w:p>
        </w:tc>
        <w:tc>
          <w:tcPr>
            <w:tcW w:w="1584"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firstLine="0"/>
              <w:rPr>
                <w:color w:val="auto"/>
              </w:rPr>
            </w:pPr>
            <w:r>
              <w:rPr>
                <w:color w:val="auto"/>
              </w:rPr>
              <w:t>退、转、休、停学</w:t>
            </w:r>
          </w:p>
        </w:tc>
        <w:tc>
          <w:tcPr>
            <w:tcW w:w="5968" w:type="dxa"/>
            <w:tcBorders>
              <w:top w:val="single" w:color="auto" w:sz="4" w:space="0"/>
              <w:left w:val="single" w:color="auto" w:sz="4" w:space="0"/>
              <w:bottom w:val="single" w:color="auto" w:sz="4" w:space="0"/>
            </w:tcBorders>
            <w:shd w:val="clear" w:color="auto" w:fill="FFFFFF"/>
            <w:vAlign w:val="center"/>
          </w:tcPr>
          <w:p>
            <w:pPr>
              <w:pStyle w:val="20"/>
              <w:spacing w:line="245" w:lineRule="exact"/>
              <w:ind w:firstLine="0"/>
              <w:jc w:val="both"/>
              <w:rPr>
                <w:color w:val="auto"/>
              </w:rPr>
            </w:pPr>
            <w:r>
              <w:rPr>
                <w:color w:val="auto"/>
              </w:rPr>
              <w:t>辅导员处申请</w:t>
            </w:r>
            <w:r>
              <w:rPr>
                <w:rFonts w:hint="eastAsia"/>
                <w:color w:val="auto"/>
              </w:rPr>
              <w:t>→</w:t>
            </w:r>
            <w:r>
              <w:rPr>
                <w:color w:val="auto"/>
              </w:rPr>
              <w:t>领取办理表格</w:t>
            </w:r>
            <w:r>
              <w:rPr>
                <w:rFonts w:hint="eastAsia"/>
                <w:color w:val="auto"/>
              </w:rPr>
              <w:t>→</w:t>
            </w:r>
            <w:r>
              <w:rPr>
                <w:color w:val="auto"/>
              </w:rPr>
              <w:t>学生工作处（团委）盖章</w:t>
            </w:r>
            <w:r>
              <w:rPr>
                <w:rFonts w:hint="eastAsia"/>
                <w:color w:val="auto"/>
              </w:rPr>
              <w:t>→</w:t>
            </w:r>
            <w:r>
              <w:rPr>
                <w:color w:val="auto"/>
              </w:rPr>
              <w:t>以手续单序号依次办理</w:t>
            </w:r>
          </w:p>
        </w:tc>
        <w:tc>
          <w:tcPr>
            <w:tcW w:w="1559" w:type="dxa"/>
            <w:tcBorders>
              <w:top w:val="single" w:color="auto" w:sz="4" w:space="0"/>
              <w:left w:val="single" w:color="auto" w:sz="4" w:space="0"/>
              <w:bottom w:val="single" w:color="auto" w:sz="4" w:space="0"/>
            </w:tcBorders>
            <w:shd w:val="clear" w:color="auto" w:fill="FFFFFF"/>
          </w:tcPr>
          <w:p>
            <w:pPr>
              <w:pStyle w:val="20"/>
              <w:spacing w:line="278" w:lineRule="exact"/>
              <w:ind w:firstLine="0"/>
              <w:jc w:val="center"/>
              <w:rPr>
                <w:color w:val="auto"/>
                <w:lang w:eastAsia="zh-CN"/>
              </w:rPr>
            </w:pPr>
            <w:r>
              <w:rPr>
                <w:color w:val="auto"/>
              </w:rPr>
              <w:t>学院、教学科研处、财务处学生工作处（团委）、</w:t>
            </w:r>
            <w:r>
              <w:rPr>
                <w:rFonts w:hint="eastAsia"/>
                <w:color w:val="auto"/>
                <w:lang w:eastAsia="zh-CN"/>
              </w:rPr>
              <w:t>后勤保卫处</w:t>
            </w:r>
            <w:r>
              <w:rPr>
                <w:color w:val="auto"/>
              </w:rPr>
              <w:t>、</w:t>
            </w:r>
            <w:r>
              <w:rPr>
                <w:rFonts w:hint="eastAsia"/>
                <w:color w:val="auto"/>
                <w:lang w:eastAsia="zh-CN"/>
              </w:rPr>
              <w:t>后勤保卫处</w:t>
            </w:r>
          </w:p>
        </w:tc>
        <w:tc>
          <w:tcPr>
            <w:tcW w:w="1886" w:type="dxa"/>
            <w:tcBorders>
              <w:top w:val="single" w:color="auto" w:sz="4" w:space="0"/>
              <w:left w:val="single" w:color="auto" w:sz="4" w:space="0"/>
              <w:bottom w:val="single" w:color="auto" w:sz="4" w:space="0"/>
            </w:tcBorders>
            <w:shd w:val="clear" w:color="auto" w:fill="FFFFFF"/>
            <w:vAlign w:val="center"/>
          </w:tcPr>
          <w:p>
            <w:pPr>
              <w:pStyle w:val="20"/>
              <w:spacing w:line="278" w:lineRule="exact"/>
              <w:ind w:left="400" w:firstLine="20"/>
              <w:rPr>
                <w:rFonts w:eastAsia="PMingLiU"/>
                <w:color w:val="auto"/>
              </w:rPr>
            </w:pPr>
            <w:r>
              <w:rPr>
                <w:color w:val="auto"/>
              </w:rPr>
              <w:t>办公时间</w:t>
            </w:r>
          </w:p>
          <w:p>
            <w:pPr>
              <w:pStyle w:val="20"/>
              <w:spacing w:line="278" w:lineRule="exact"/>
              <w:ind w:left="400" w:firstLine="20"/>
              <w:rPr>
                <w:color w:val="auto"/>
              </w:rPr>
            </w:pPr>
            <w:r>
              <w:rPr>
                <w:color w:val="auto"/>
              </w:rPr>
              <w:t>随时办理</w:t>
            </w:r>
          </w:p>
        </w:tc>
        <w:tc>
          <w:tcPr>
            <w:tcW w:w="1091" w:type="dxa"/>
            <w:vMerge w:val="continue"/>
            <w:tcBorders>
              <w:left w:val="single" w:color="auto" w:sz="4" w:space="0"/>
              <w:bottom w:val="single" w:color="auto" w:sz="4" w:space="0"/>
              <w:right w:val="single" w:color="auto" w:sz="4" w:space="0"/>
            </w:tcBorders>
            <w:shd w:val="clear" w:color="auto" w:fill="FFFFFF"/>
            <w:vAlign w:val="center"/>
          </w:tcPr>
          <w:p>
            <w:pPr>
              <w:rPr>
                <w:color w:val="auto"/>
              </w:rPr>
            </w:pPr>
          </w:p>
        </w:tc>
      </w:tr>
    </w:tbl>
    <w:p>
      <w:pPr>
        <w:rPr>
          <w:color w:val="auto"/>
          <w:lang w:eastAsia="zh-CN"/>
        </w:rPr>
      </w:pPr>
    </w:p>
    <w:sectPr>
      <w:headerReference r:id="rId84" w:type="default"/>
      <w:footerReference r:id="rId86" w:type="default"/>
      <w:headerReference r:id="rId85" w:type="even"/>
      <w:footerReference r:id="rId87" w:type="even"/>
      <w:pgSz w:w="15082" w:h="9746" w:orient="landscape"/>
      <w:pgMar w:top="1043" w:right="652" w:bottom="987" w:left="663" w:header="232" w:footer="324"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ge">
                <wp:posOffset>9077960</wp:posOffset>
              </wp:positionV>
              <wp:extent cx="27114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t>-</w:t>
                          </w:r>
                        </w:p>
                      </w:txbxContent>
                    </wps:txbx>
                    <wps:bodyPr wrap="none" lIns="0" tIns="0" rIns="0" bIns="0">
                      <a:spAutoFit/>
                    </wps:bodyPr>
                  </wps:wsp>
                </a:graphicData>
              </a:graphic>
            </wp:anchor>
          </w:drawing>
        </mc:Choice>
        <mc:Fallback>
          <w:pict>
            <v:shape id="Shape 1" o:spid="_x0000_s1026" o:spt="202" type="#_x0000_t202" style="position:absolute;left:0pt;margin-top:714.8pt;height:7.2pt;width:21.35pt;mso-position-horizontal:outside;mso-position-horizontal-relative:margin;mso-position-vertical-relative:page;mso-wrap-style:none;z-index:251660288;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edSOl1QAAAAkB&#10;AAAPAAAAAAAAAAEAIAAAACIAAABkcnMvZG93bnJldi54bWxQSwECFAAUAAAACACHTuJAgNZD6qwB&#10;AABuAwAADgAAAAAAAAABACAAAAAkAQAAZHJzL2Uyb0RvYy54bWxQSwUGAAAAAAYABgBZAQAAQgUA&#10;A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6432" behindDoc="0" locked="0" layoutInCell="1" allowOverlap="1">
              <wp:simplePos x="0" y="0"/>
              <wp:positionH relativeFrom="margin">
                <wp:align>outside</wp:align>
              </wp:positionH>
              <wp:positionV relativeFrom="page">
                <wp:posOffset>9077960</wp:posOffset>
              </wp:positionV>
              <wp:extent cx="335280" cy="91440"/>
              <wp:effectExtent l="0" t="0" r="0" b="0"/>
              <wp:wrapNone/>
              <wp:docPr id="37" name="Shape 37"/>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wps:txbx>
                    <wps:bodyPr wrap="none" lIns="0" tIns="0" rIns="0" bIns="0">
                      <a:spAutoFit/>
                    </wps:bodyPr>
                  </wps:wsp>
                </a:graphicData>
              </a:graphic>
            </wp:anchor>
          </w:drawing>
        </mc:Choice>
        <mc:Fallback>
          <w:pict>
            <v:shape id="Shape 37" o:spid="_x0000_s1026" o:spt="202" type="#_x0000_t202" style="position:absolute;left:0pt;margin-top:714.8pt;height:7.2pt;width:26.4pt;mso-position-horizontal:outside;mso-position-horizontal-relative:margin;mso-position-vertical-relative:page;mso-wrap-style:none;z-index:251666432;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FZbbjSu&#10;AQAAcAMAAA4AAAAAAAAAAQAgAAAAIwEAAGRycy9lMm9Eb2MueG1sUEsFBgAAAAAGAAYAWQEAAEMF&#10;AAA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5408" behindDoc="0" locked="0" layoutInCell="1" allowOverlap="1">
              <wp:simplePos x="0" y="0"/>
              <wp:positionH relativeFrom="margin">
                <wp:align>outside</wp:align>
              </wp:positionH>
              <wp:positionV relativeFrom="page">
                <wp:posOffset>9077960</wp:posOffset>
              </wp:positionV>
              <wp:extent cx="335280" cy="91440"/>
              <wp:effectExtent l="0" t="0" r="0" b="0"/>
              <wp:wrapNone/>
              <wp:docPr id="39" name="Shape 39"/>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wps:txbx>
                    <wps:bodyPr wrap="none" lIns="0" tIns="0" rIns="0" bIns="0">
                      <a:spAutoFit/>
                    </wps:bodyPr>
                  </wps:wsp>
                </a:graphicData>
              </a:graphic>
            </wp:anchor>
          </w:drawing>
        </mc:Choice>
        <mc:Fallback>
          <w:pict>
            <v:shape id="Shape 39" o:spid="_x0000_s1026" o:spt="202" type="#_x0000_t202" style="position:absolute;left:0pt;margin-top:714.8pt;height:7.2pt;width:26.4pt;mso-position-horizontal:outside;mso-position-horizontal-relative:margin;mso-position-vertical-relative:page;mso-wrap-style:none;z-index:251665408;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DC0IViu&#10;AQAAcAMAAA4AAAAAAAAAAQAgAAAAIwEAAGRycy9lMm9Eb2MueG1sUEsFBgAAAAAGAAYAWQEAAEMF&#10;AAA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5888" behindDoc="0" locked="0" layoutInCell="1" allowOverlap="1">
              <wp:simplePos x="0" y="0"/>
              <wp:positionH relativeFrom="margin">
                <wp:align>outside</wp:align>
              </wp:positionH>
              <wp:positionV relativeFrom="page">
                <wp:posOffset>9077960</wp:posOffset>
              </wp:positionV>
              <wp:extent cx="271145"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41" o:spid="_x0000_s1026" o:spt="202" type="#_x0000_t202" style="position:absolute;left:0pt;margin-top:714.8pt;height:7.2pt;width:21.35pt;mso-position-horizontal:outside;mso-position-horizontal-relative:margin;mso-position-vertical-relative:page;mso-wrap-style:none;z-index:251685888;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CMW/8y&#10;rgEAAHA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4864" behindDoc="0" locked="0" layoutInCell="1" allowOverlap="1">
              <wp:simplePos x="0" y="0"/>
              <wp:positionH relativeFrom="margin">
                <wp:align>outside</wp:align>
              </wp:positionH>
              <wp:positionV relativeFrom="page">
                <wp:posOffset>9077960</wp:posOffset>
              </wp:positionV>
              <wp:extent cx="335280" cy="91440"/>
              <wp:effectExtent l="0" t="0" r="0" b="0"/>
              <wp:wrapNone/>
              <wp:docPr id="43" name="Shape 43"/>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43" o:spid="_x0000_s1026" o:spt="202" type="#_x0000_t202" style="position:absolute;left:0pt;margin-top:714.8pt;height:7.2pt;width:26.4pt;mso-position-horizontal:outside;mso-position-horizontal-relative:margin;mso-position-vertical-relative:page;mso-wrap-style:none;z-index:251684864;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GPaAk6u&#10;AQAAcAMAAA4AAAAAAAAAAQAgAAAAIw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7936" behindDoc="0" locked="0" layoutInCell="1" allowOverlap="1">
              <wp:simplePos x="0" y="0"/>
              <wp:positionH relativeFrom="margin">
                <wp:align>outside</wp:align>
              </wp:positionH>
              <wp:positionV relativeFrom="page">
                <wp:posOffset>9077960</wp:posOffset>
              </wp:positionV>
              <wp:extent cx="335280" cy="94615"/>
              <wp:effectExtent l="0" t="0" r="0" b="0"/>
              <wp:wrapNone/>
              <wp:docPr id="45" name="Shape 45"/>
              <wp:cNvGraphicFramePr/>
              <a:graphic xmlns:a="http://schemas.openxmlformats.org/drawingml/2006/main">
                <a:graphicData uri="http://schemas.microsoft.com/office/word/2010/wordprocessingShape">
                  <wps:wsp>
                    <wps:cNvSpPr txBox="1"/>
                    <wps:spPr>
                      <a:xfrm>
                        <a:off x="0" y="0"/>
                        <a:ext cx="335280" cy="94615"/>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45" o:spid="_x0000_s1026" o:spt="202" type="#_x0000_t202" style="position:absolute;left:0pt;margin-top:714.8pt;height:7.45pt;width:26.4pt;mso-position-horizontal:outside;mso-position-horizontal-relative:margin;mso-position-vertical-relative:page;mso-wrap-style:none;z-index:251687936;mso-width-relative:page;mso-height-relative:page;" filled="f" stroked="f" coordsize="21600,21600" o:gfxdata="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rc9MnVAAAA&#10;CQEAAA8AAAAAAAAAAQAgAAAAIgAAAGRycy9kb3ducmV2LnhtbFBLAQIUABQAAAAIAIdO4kCblI0T&#10;rgEAAHADAAAOAAAAAAAAAAEAIAAAACQBAABkcnMvZTJvRG9jLnhtbFBLBQYAAAAABgAGAFkBAABE&#10;BQ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6912" behindDoc="0" locked="0" layoutInCell="1" allowOverlap="1">
              <wp:simplePos x="0" y="0"/>
              <wp:positionH relativeFrom="margin">
                <wp:align>outside</wp:align>
              </wp:positionH>
              <wp:positionV relativeFrom="page">
                <wp:posOffset>9077960</wp:posOffset>
              </wp:positionV>
              <wp:extent cx="335280" cy="91440"/>
              <wp:effectExtent l="0" t="0" r="0" b="0"/>
              <wp:wrapNone/>
              <wp:docPr id="47" name="Shape 47"/>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47" o:spid="_x0000_s1026" o:spt="202" type="#_x0000_t202" style="position:absolute;left:0pt;margin-top:714.8pt;height:7.2pt;width:26.4pt;mso-position-horizontal:outside;mso-position-horizontal-relative:margin;mso-position-vertical-relative:page;mso-wrap-style:none;z-index:251686912;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JeeMGau&#10;AQAAcAMAAA4AAAAAAAAAAQAgAAAAIw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9984" behindDoc="0" locked="0" layoutInCell="1" allowOverlap="1">
              <wp:simplePos x="0" y="0"/>
              <wp:positionH relativeFrom="margin">
                <wp:align>outside</wp:align>
              </wp:positionH>
              <wp:positionV relativeFrom="page">
                <wp:posOffset>9077960</wp:posOffset>
              </wp:positionV>
              <wp:extent cx="271145" cy="91440"/>
              <wp:effectExtent l="0" t="0" r="0" b="0"/>
              <wp:wrapNone/>
              <wp:docPr id="49" name="Shape 49"/>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49" o:spid="_x0000_s1026" o:spt="202" type="#_x0000_t202" style="position:absolute;left:0pt;margin-top:714.8pt;height:7.2pt;width:21.35pt;mso-position-horizontal:outside;mso-position-horizontal-relative:margin;mso-position-vertical-relative:page;mso-wrap-style:none;z-index:251689984;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Bk0pti&#10;rgEAAHA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8960" behindDoc="0" locked="0" layoutInCell="1" allowOverlap="1">
              <wp:simplePos x="0" y="0"/>
              <wp:positionH relativeFrom="margin">
                <wp:align>outside</wp:align>
              </wp:positionH>
              <wp:positionV relativeFrom="page">
                <wp:posOffset>9077960</wp:posOffset>
              </wp:positionV>
              <wp:extent cx="335280" cy="91440"/>
              <wp:effectExtent l="0" t="0" r="0" b="0"/>
              <wp:wrapNone/>
              <wp:docPr id="51" name="Shape 51"/>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51" o:spid="_x0000_s1026" o:spt="202" type="#_x0000_t202" style="position:absolute;left:0pt;margin-top:714.8pt;height:7.2pt;width:26.4pt;mso-position-horizontal:outside;mso-position-horizontal-relative:margin;mso-position-vertical-relative:page;mso-wrap-style:none;z-index:251688960;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Jm4eQKu&#10;AQAAcAMAAA4AAAAAAAAAAQAgAAAAIw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98176" behindDoc="0" locked="0" layoutInCell="1" allowOverlap="1">
              <wp:simplePos x="0" y="0"/>
              <wp:positionH relativeFrom="margin">
                <wp:align>outside</wp:align>
              </wp:positionH>
              <wp:positionV relativeFrom="page">
                <wp:posOffset>9077960</wp:posOffset>
              </wp:positionV>
              <wp:extent cx="271145" cy="91440"/>
              <wp:effectExtent l="0" t="0" r="0" b="0"/>
              <wp:wrapNone/>
              <wp:docPr id="53" name="Shape 53"/>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53" o:spid="_x0000_s1026" o:spt="202" type="#_x0000_t202" style="position:absolute;left:0pt;margin-top:714.8pt;height:7.2pt;width:21.35pt;mso-position-horizontal:outside;mso-position-horizontal-relative:margin;mso-position-vertical-relative:page;mso-wrap-style:none;z-index:251698176;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dSOl1QAA&#10;AAkBAAAPAAAAAAAAAAEAIAAAACIAAABkcnMvZG93bnJldi54bWxQSwECFAAUAAAACACHTuJAdjmE&#10;fq8BAABwAwAADgAAAAAAAAABACAAAAAkAQAAZHJzL2Uyb0RvYy54bWxQSwUGAAAAAAYABgBZAQAA&#10;RQU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97152" behindDoc="0" locked="0" layoutInCell="1" allowOverlap="1">
              <wp:simplePos x="0" y="0"/>
              <wp:positionH relativeFrom="margin">
                <wp:align>outside</wp:align>
              </wp:positionH>
              <wp:positionV relativeFrom="page">
                <wp:posOffset>9077960</wp:posOffset>
              </wp:positionV>
              <wp:extent cx="335280" cy="91440"/>
              <wp:effectExtent l="0" t="0" r="0" b="0"/>
              <wp:wrapNone/>
              <wp:docPr id="55" name="Shape 55"/>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55" o:spid="_x0000_s1026" o:spt="202" type="#_x0000_t202" style="position:absolute;left:0pt;margin-top:714.8pt;height:7.2pt;width:26.4pt;mso-position-horizontal:outside;mso-position-horizontal-relative:margin;mso-position-vertical-relative:page;mso-wrap-style:none;z-index:251697152;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G38Syqu&#10;AQAAcAMAAA4AAAAAAAAAAQAgAAAAIw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ge">
                <wp:posOffset>9077960</wp:posOffset>
              </wp:positionV>
              <wp:extent cx="33528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wps:txbx>
                    <wps:bodyPr wrap="none" lIns="0" tIns="0" rIns="0" bIns="0">
                      <a:spAutoFit/>
                    </wps:bodyPr>
                  </wps:wsp>
                </a:graphicData>
              </a:graphic>
            </wp:anchor>
          </w:drawing>
        </mc:Choice>
        <mc:Fallback>
          <w:pict>
            <v:shape id="Shape 3" o:spid="_x0000_s1026" o:spt="202" type="#_x0000_t202" style="position:absolute;left:0pt;margin-top:714.8pt;height:7.2pt;width:26.4pt;mso-position-horizontal:outside;mso-position-horizontal-relative:margin;mso-position-vertical-relative:page;mso-wrap-style:none;z-index:251659264;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QUX731AAAAAkB&#10;AAAPAAAAAAAAAAEAIAAAACIAAABkcnMvZG93bnJldi54bWxQSwECFAAUAAAACACHTuJAR+dNsK0B&#10;AABuAwAADgAAAAAAAAABACAAAAAjAQAAZHJzL2Uyb0RvYy54bWxQSwUGAAAAAAYABgBZAQAAQgUA&#10;A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99200" behindDoc="0" locked="0" layoutInCell="1" allowOverlap="1">
              <wp:simplePos x="0" y="0"/>
              <wp:positionH relativeFrom="margin">
                <wp:align>outside</wp:align>
              </wp:positionH>
              <wp:positionV relativeFrom="page">
                <wp:posOffset>9077960</wp:posOffset>
              </wp:positionV>
              <wp:extent cx="335280" cy="94615"/>
              <wp:effectExtent l="0" t="0" r="0" b="0"/>
              <wp:wrapNone/>
              <wp:docPr id="57" name="Shape 57"/>
              <wp:cNvGraphicFramePr/>
              <a:graphic xmlns:a="http://schemas.openxmlformats.org/drawingml/2006/main">
                <a:graphicData uri="http://schemas.microsoft.com/office/word/2010/wordprocessingShape">
                  <wps:wsp>
                    <wps:cNvSpPr txBox="1"/>
                    <wps:spPr>
                      <a:xfrm>
                        <a:off x="0" y="0"/>
                        <a:ext cx="335280" cy="94615"/>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57" o:spid="_x0000_s1026" o:spt="202" type="#_x0000_t202" style="position:absolute;left:0pt;margin-top:714.8pt;height:7.45pt;width:26.4pt;mso-position-horizontal:outside;mso-position-horizontal-relative:margin;mso-position-vertical-relative:page;mso-wrap-style:none;z-index:251699200;mso-width-relative:page;mso-height-relative:page;" filled="f" stroked="f" coordsize="21600,21600" o:gfxdata="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tz0ydUAAAAJ&#10;AQAADwAAAAAAAAABACAAAAAiAAAAZHJzL2Rvd25yZXYueG1sUEsBAhQAFAAAAAgAh07iQGH29l+t&#10;AQAAcAMAAA4AAAAAAAAAAQAgAAAAJA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91008" behindDoc="0" locked="0" layoutInCell="1" allowOverlap="1">
              <wp:simplePos x="0" y="0"/>
              <wp:positionH relativeFrom="margin">
                <wp:align>outside</wp:align>
              </wp:positionH>
              <wp:positionV relativeFrom="page">
                <wp:posOffset>9077960</wp:posOffset>
              </wp:positionV>
              <wp:extent cx="335280" cy="94615"/>
              <wp:effectExtent l="0" t="0" r="0" b="0"/>
              <wp:wrapNone/>
              <wp:docPr id="59" name="Shape 59"/>
              <wp:cNvGraphicFramePr/>
              <a:graphic xmlns:a="http://schemas.openxmlformats.org/drawingml/2006/main">
                <a:graphicData uri="http://schemas.microsoft.com/office/word/2010/wordprocessingShape">
                  <wps:wsp>
                    <wps:cNvSpPr txBox="1"/>
                    <wps:spPr>
                      <a:xfrm>
                        <a:off x="0" y="0"/>
                        <a:ext cx="335280" cy="94615"/>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59" o:spid="_x0000_s1026" o:spt="202" type="#_x0000_t202" style="position:absolute;left:0pt;margin-top:714.8pt;height:7.45pt;width:26.4pt;mso-position-horizontal:outside;mso-position-horizontal-relative:margin;mso-position-vertical-relative:page;mso-wrap-style:none;z-index:251691008;mso-width-relative:page;mso-height-relative:page;" filled="f" stroked="f" coordsize="21600,21600" o:gfxdata="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tz0ydUAAAAJ&#10;AQAADwAAAAAAAAABACAAAAAiAAAAZHJzL2Rvd25yZXYueG1sUEsBAhQAFAAAAAgAh07iQAcZuTOt&#10;AQAAcAMAAA4AAAAAAAAAAQAgAAAAJA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92032" behindDoc="0" locked="0" layoutInCell="1" allowOverlap="1">
              <wp:simplePos x="0" y="0"/>
              <wp:positionH relativeFrom="margin">
                <wp:align>outside</wp:align>
              </wp:positionH>
              <wp:positionV relativeFrom="page">
                <wp:posOffset>9077960</wp:posOffset>
              </wp:positionV>
              <wp:extent cx="335280" cy="94615"/>
              <wp:effectExtent l="0" t="0" r="0" b="0"/>
              <wp:wrapNone/>
              <wp:docPr id="61" name="Shape 61"/>
              <wp:cNvGraphicFramePr/>
              <a:graphic xmlns:a="http://schemas.openxmlformats.org/drawingml/2006/main">
                <a:graphicData uri="http://schemas.microsoft.com/office/word/2010/wordprocessingShape">
                  <wps:wsp>
                    <wps:cNvSpPr txBox="1"/>
                    <wps:spPr>
                      <a:xfrm>
                        <a:off x="0" y="0"/>
                        <a:ext cx="335280" cy="94615"/>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61" o:spid="_x0000_s1026" o:spt="202" type="#_x0000_t202" style="position:absolute;left:0pt;margin-top:714.8pt;height:7.45pt;width:26.4pt;mso-position-horizontal:outside;mso-position-horizontal-relative:margin;mso-position-vertical-relative:page;mso-wrap-style:none;z-index:251692032;mso-width-relative:page;mso-height-relative:page;" filled="f" stroked="f" coordsize="21600,21600" o:gfxdata="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tz0ydUAAAAJ&#10;AQAADwAAAAAAAAABACAAAAAiAAAAZHJzL2Rvd25yZXYueG1sUEsBAhQAFAAAAAgAh07iQG9Re4ut&#10;AQAAcAMAAA4AAAAAAAAAAQAgAAAAJA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93056" behindDoc="0" locked="0" layoutInCell="1" allowOverlap="1">
              <wp:simplePos x="0" y="0"/>
              <wp:positionH relativeFrom="margin">
                <wp:align>outside</wp:align>
              </wp:positionH>
              <wp:positionV relativeFrom="page">
                <wp:posOffset>9077960</wp:posOffset>
              </wp:positionV>
              <wp:extent cx="335280" cy="94615"/>
              <wp:effectExtent l="0" t="0" r="0" b="0"/>
              <wp:wrapNone/>
              <wp:docPr id="63" name="Shape 63"/>
              <wp:cNvGraphicFramePr/>
              <a:graphic xmlns:a="http://schemas.openxmlformats.org/drawingml/2006/main">
                <a:graphicData uri="http://schemas.microsoft.com/office/word/2010/wordprocessingShape">
                  <wps:wsp>
                    <wps:cNvSpPr txBox="1"/>
                    <wps:spPr>
                      <a:xfrm>
                        <a:off x="0" y="0"/>
                        <a:ext cx="335280" cy="94615"/>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63" o:spid="_x0000_s1026" o:spt="202" type="#_x0000_t202" style="position:absolute;left:0pt;margin-top:714.8pt;height:7.45pt;width:26.4pt;mso-position-horizontal:outside;mso-position-horizontal-relative:margin;mso-position-vertical-relative:page;mso-wrap-style:none;z-index:251693056;mso-width-relative:page;mso-height-relative:page;" filled="f" stroked="f" coordsize="21600,21600" o:gfxdata="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tz0ydUAAAAJ&#10;AQAADwAAAAAAAAABACAAAAAiAAAAZHJzL2Rvd25yZXYueG1sUEsBAhQAFAAAAAgAh07iQBVzYp+t&#10;AQAAcAMAAA4AAAAAAAAAAQAgAAAAJA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94080" behindDoc="0" locked="0" layoutInCell="1" allowOverlap="1">
              <wp:simplePos x="0" y="0"/>
              <wp:positionH relativeFrom="margin">
                <wp:align>outside</wp:align>
              </wp:positionH>
              <wp:positionV relativeFrom="page">
                <wp:posOffset>9077960</wp:posOffset>
              </wp:positionV>
              <wp:extent cx="271145" cy="91440"/>
              <wp:effectExtent l="0" t="0" r="0" b="0"/>
              <wp:wrapNone/>
              <wp:docPr id="65" name="Shape 65"/>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65" o:spid="_x0000_s1026" o:spt="202" type="#_x0000_t202" style="position:absolute;left:0pt;margin-top:714.8pt;height:7.2pt;width:21.35pt;mso-position-horizontal:outside;mso-position-horizontal-relative:margin;mso-position-vertical-relative:page;mso-wrap-style:none;z-index:251694080;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B4ngmq&#10;rgEAAHA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95104" behindDoc="0" locked="0" layoutInCell="1" allowOverlap="1">
              <wp:simplePos x="0" y="0"/>
              <wp:positionH relativeFrom="margin">
                <wp:align>outside</wp:align>
              </wp:positionH>
              <wp:positionV relativeFrom="page">
                <wp:posOffset>9077960</wp:posOffset>
              </wp:positionV>
              <wp:extent cx="335280" cy="91440"/>
              <wp:effectExtent l="0" t="0" r="0" b="0"/>
              <wp:wrapNone/>
              <wp:docPr id="67" name="Shape 67"/>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67" o:spid="_x0000_s1026" o:spt="202" type="#_x0000_t202" style="position:absolute;left:0pt;margin-top:714.8pt;height:7.2pt;width:26.4pt;mso-position-horizontal:outside;mso-position-horizontal-relative:margin;mso-position-vertical-relative:page;mso-wrap-style:none;z-index:251695104;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Jcf9Nau&#10;AQAAcAMAAA4AAAAAAAAAAQAgAAAAIw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96128" behindDoc="0" locked="0" layoutInCell="1" allowOverlap="1">
              <wp:simplePos x="0" y="0"/>
              <wp:positionH relativeFrom="margin">
                <wp:align>outside</wp:align>
              </wp:positionH>
              <wp:positionV relativeFrom="page">
                <wp:posOffset>9077960</wp:posOffset>
              </wp:positionV>
              <wp:extent cx="335280" cy="94615"/>
              <wp:effectExtent l="0" t="0" r="0" b="0"/>
              <wp:wrapNone/>
              <wp:docPr id="69" name="Shape 69"/>
              <wp:cNvGraphicFramePr/>
              <a:graphic xmlns:a="http://schemas.openxmlformats.org/drawingml/2006/main">
                <a:graphicData uri="http://schemas.microsoft.com/office/word/2010/wordprocessingShape">
                  <wps:wsp>
                    <wps:cNvSpPr txBox="1"/>
                    <wps:spPr>
                      <a:xfrm>
                        <a:off x="0" y="0"/>
                        <a:ext cx="335280" cy="94615"/>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69" o:spid="_x0000_s1026" o:spt="202" type="#_x0000_t202" style="position:absolute;left:0pt;margin-top:714.8pt;height:7.45pt;width:26.4pt;mso-position-horizontal:outside;mso-position-horizontal-relative:margin;mso-position-vertical-relative:page;mso-wrap-style:none;z-index:251696128;mso-width-relative:page;mso-height-relative:page;" filled="f" stroked="f" coordsize="21600,21600" o:gfxdata="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tz0ydUAAAAJ&#10;AQAADwAAAAAAAAABACAAAAAiAAAAZHJzL2Rvd25yZXYueG1sUEsBAhQAFAAAAAgAh07iQIfYH9ut&#10;AQAAcAMAAA4AAAAAAAAAAQAgAAAAJA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8480" behindDoc="0" locked="0" layoutInCell="1" allowOverlap="1">
              <wp:simplePos x="0" y="0"/>
              <wp:positionH relativeFrom="margin">
                <wp:align>outside</wp:align>
              </wp:positionH>
              <wp:positionV relativeFrom="page">
                <wp:posOffset>9077960</wp:posOffset>
              </wp:positionV>
              <wp:extent cx="271145" cy="91440"/>
              <wp:effectExtent l="0" t="0" r="0" b="0"/>
              <wp:wrapNone/>
              <wp:docPr id="85" name="Shape 85"/>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85" o:spid="_x0000_s1026" o:spt="202" type="#_x0000_t202" style="position:absolute;left:0pt;margin-top:714.8pt;height:7.2pt;width:21.35pt;mso-position-horizontal:outside;mso-position-horizontal-relative:margin;mso-position-vertical-relative:page;mso-wrap-style:none;z-index:251668480;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D6FbQO&#10;rgEAAHA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7456" behindDoc="0" locked="0" layoutInCell="1" allowOverlap="1">
              <wp:simplePos x="0" y="0"/>
              <wp:positionH relativeFrom="margin">
                <wp:align>outside</wp:align>
              </wp:positionH>
              <wp:positionV relativeFrom="page">
                <wp:posOffset>9077960</wp:posOffset>
              </wp:positionV>
              <wp:extent cx="335280" cy="91440"/>
              <wp:effectExtent l="0" t="0" r="0" b="0"/>
              <wp:wrapNone/>
              <wp:docPr id="87" name="Shape 87"/>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87" o:spid="_x0000_s1026" o:spt="202" type="#_x0000_t202" style="position:absolute;left:0pt;margin-top:714.8pt;height:7.2pt;width:26.4pt;mso-position-horizontal:outside;mso-position-horizontal-relative:margin;mso-position-vertical-relative:page;mso-wrap-style:none;z-index:251667456;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BWUSXKu&#10;AQAAcAMAAA4AAAAAAAAAAQAgAAAAIw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0528" behindDoc="0" locked="0" layoutInCell="1" allowOverlap="1">
              <wp:simplePos x="0" y="0"/>
              <wp:positionH relativeFrom="margin">
                <wp:align>outside</wp:align>
              </wp:positionH>
              <wp:positionV relativeFrom="page">
                <wp:posOffset>9077960</wp:posOffset>
              </wp:positionV>
              <wp:extent cx="271145" cy="91440"/>
              <wp:effectExtent l="0" t="0" r="0" b="0"/>
              <wp:wrapNone/>
              <wp:docPr id="89" name="Shape 89"/>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89" o:spid="_x0000_s1026" o:spt="202" type="#_x0000_t202" style="position:absolute;left:0pt;margin-top:714.8pt;height:7.2pt;width:21.35pt;mso-position-horizontal:outside;mso-position-horizontal-relative:margin;mso-position-vertical-relative:page;mso-wrap-style:none;z-index:251670528;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Dm2OJ2&#10;rgEAAHA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0" locked="0" layoutInCell="1" allowOverlap="1">
              <wp:simplePos x="0" y="0"/>
              <wp:positionH relativeFrom="margin">
                <wp:align>outside</wp:align>
              </wp:positionH>
              <wp:positionV relativeFrom="page">
                <wp:posOffset>9077960</wp:posOffset>
              </wp:positionV>
              <wp:extent cx="27114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5" o:spid="_x0000_s1026" o:spt="202" type="#_x0000_t202" style="position:absolute;left:0pt;margin-top:714.8pt;height:7.2pt;width:21.35pt;mso-position-horizontal:outside;mso-position-horizontal-relative:margin;mso-position-vertical-relative:page;mso-wrap-style:none;z-index:251661312;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nUjpdUAAAAJ&#10;AQAADwAAAAAAAAABACAAAAAiAAAAZHJzL2Rvd25yZXYueG1sUEsBAhQAFAAAAAgAh07iQCTylo+t&#10;AQAAbgMAAA4AAAAAAAAAAQAgAAAAJAEAAGRycy9lMm9Eb2MueG1sUEsFBgAAAAAGAAYAWQEAAEMF&#10;A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9504" behindDoc="0" locked="0" layoutInCell="1" allowOverlap="1">
              <wp:simplePos x="0" y="0"/>
              <wp:positionH relativeFrom="margin">
                <wp:align>outside</wp:align>
              </wp:positionH>
              <wp:positionV relativeFrom="page">
                <wp:posOffset>9077960</wp:posOffset>
              </wp:positionV>
              <wp:extent cx="335280" cy="91440"/>
              <wp:effectExtent l="0" t="0" r="0" b="0"/>
              <wp:wrapNone/>
              <wp:docPr id="91" name="Shape 91"/>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91" o:spid="_x0000_s1026" o:spt="202" type="#_x0000_t202" style="position:absolute;left:0pt;margin-top:714.8pt;height:7.2pt;width:26.4pt;mso-position-horizontal:outside;mso-position-horizontal-relative:margin;mso-position-vertical-relative:page;mso-wrap-style:none;z-index:251669504;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BuyABau&#10;AQAAcAMAAA4AAAAAAAAAAQAgAAAAIw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2576" behindDoc="0" locked="0" layoutInCell="1" allowOverlap="1">
              <wp:simplePos x="0" y="0"/>
              <wp:positionH relativeFrom="margin">
                <wp:align>outside</wp:align>
              </wp:positionH>
              <wp:positionV relativeFrom="page">
                <wp:posOffset>9077960</wp:posOffset>
              </wp:positionV>
              <wp:extent cx="271145" cy="91440"/>
              <wp:effectExtent l="0" t="0" r="0" b="0"/>
              <wp:wrapNone/>
              <wp:docPr id="107" name="Shape 107"/>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107" o:spid="_x0000_s1026" o:spt="202" type="#_x0000_t202" style="position:absolute;left:0pt;margin-top:714.8pt;height:7.2pt;width:21.35pt;mso-position-horizontal:outside;mso-position-horizontal-relative:margin;mso-position-vertical-relative:page;mso-wrap-style:none;z-index:251672576;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CN8OnB&#10;rgEAAHI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1552" behindDoc="0" locked="0" layoutInCell="1" allowOverlap="1">
              <wp:simplePos x="0" y="0"/>
              <wp:positionH relativeFrom="margin">
                <wp:align>outside</wp:align>
              </wp:positionH>
              <wp:positionV relativeFrom="page">
                <wp:posOffset>9077960</wp:posOffset>
              </wp:positionV>
              <wp:extent cx="271145" cy="91440"/>
              <wp:effectExtent l="0" t="0" r="0" b="0"/>
              <wp:wrapNone/>
              <wp:docPr id="109" name="Shape 109"/>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109" o:spid="_x0000_s1026" o:spt="202" type="#_x0000_t202" style="position:absolute;left:0pt;margin-top:714.8pt;height:7.2pt;width:21.35pt;mso-position-horizontal:outside;mso-position-horizontal-relative:margin;mso-position-vertical-relative:page;mso-wrap-style:none;z-index:251671552;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Adn14l&#10;rgEAAHI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4624" behindDoc="0" locked="0" layoutInCell="1" allowOverlap="1">
              <wp:simplePos x="0" y="0"/>
              <wp:positionH relativeFrom="margin">
                <wp:align>outside</wp:align>
              </wp:positionH>
              <wp:positionV relativeFrom="page">
                <wp:posOffset>9077960</wp:posOffset>
              </wp:positionV>
              <wp:extent cx="335280" cy="97790"/>
              <wp:effectExtent l="0" t="0" r="0" b="0"/>
              <wp:wrapNone/>
              <wp:docPr id="121" name="Shape 121"/>
              <wp:cNvGraphicFramePr/>
              <a:graphic xmlns:a="http://schemas.openxmlformats.org/drawingml/2006/main">
                <a:graphicData uri="http://schemas.microsoft.com/office/word/2010/wordprocessingShape">
                  <wps:wsp>
                    <wps:cNvSpPr txBox="1"/>
                    <wps:spPr>
                      <a:xfrm>
                        <a:off x="0" y="0"/>
                        <a:ext cx="335280" cy="9779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121" o:spid="_x0000_s1026" o:spt="202" type="#_x0000_t202" style="position:absolute;left:0pt;margin-top:714.8pt;height:7.7pt;width:26.4pt;mso-position-horizontal:outside;mso-position-horizontal-relative:margin;mso-position-vertical-relative:page;mso-wrap-style:none;z-index:251674624;mso-width-relative:page;mso-height-relative:page;" filled="f" stroked="f" coordsize="21600,21600" o:gfxdata="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ZqGZLVAAAA&#10;CQEAAA8AAAAAAAAAAQAgAAAAIgAAAGRycy9kb3ducmV2LnhtbFBLAQIUABQAAAAIAIdO4kAjCwoy&#10;rgEAAHIDAAAOAAAAAAAAAAEAIAAAACQBAABkcnMvZTJvRG9jLnhtbFBLBQYAAAAABgAGAFkBAABE&#10;BQ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3600" behindDoc="0" locked="0" layoutInCell="1" allowOverlap="1">
              <wp:simplePos x="0" y="0"/>
              <wp:positionH relativeFrom="margin">
                <wp:align>outside</wp:align>
              </wp:positionH>
              <wp:positionV relativeFrom="page">
                <wp:posOffset>9077960</wp:posOffset>
              </wp:positionV>
              <wp:extent cx="335280" cy="97790"/>
              <wp:effectExtent l="0" t="0" r="0" b="0"/>
              <wp:wrapNone/>
              <wp:docPr id="123" name="Shape 123"/>
              <wp:cNvGraphicFramePr/>
              <a:graphic xmlns:a="http://schemas.openxmlformats.org/drawingml/2006/main">
                <a:graphicData uri="http://schemas.microsoft.com/office/word/2010/wordprocessingShape">
                  <wps:wsp>
                    <wps:cNvSpPr txBox="1"/>
                    <wps:spPr>
                      <a:xfrm>
                        <a:off x="0" y="0"/>
                        <a:ext cx="335280" cy="9779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123" o:spid="_x0000_s1026" o:spt="202" type="#_x0000_t202" style="position:absolute;left:0pt;margin-top:714.8pt;height:7.7pt;width:26.4pt;mso-position-horizontal:outside;mso-position-horizontal-relative:margin;mso-position-vertical-relative:page;mso-wrap-style:none;z-index:251673600;mso-width-relative:page;mso-height-relative:page;" filled="f" stroked="f" coordsize="21600,21600" o:gfxdata="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ZqGZLVAAAA&#10;CQEAAA8AAAAAAAAAAQAgAAAAIgAAAGRycy9kb3ducmV2LnhtbFBLAQIUABQAAAAIAIdO4kATcoAT&#10;rgEAAHIDAAAOAAAAAAAAAAEAIAAAACQBAABkcnMvZTJvRG9jLnhtbFBLBQYAAAAABgAGAFkBAABE&#10;BQ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6672" behindDoc="0" locked="0" layoutInCell="1" allowOverlap="1">
              <wp:simplePos x="0" y="0"/>
              <wp:positionH relativeFrom="margin">
                <wp:align>outside</wp:align>
              </wp:positionH>
              <wp:positionV relativeFrom="page">
                <wp:posOffset>9077960</wp:posOffset>
              </wp:positionV>
              <wp:extent cx="271145" cy="91440"/>
              <wp:effectExtent l="0" t="0" r="0" b="0"/>
              <wp:wrapNone/>
              <wp:docPr id="125" name="Shape 125"/>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125" o:spid="_x0000_s1026" o:spt="202" type="#_x0000_t202" style="position:absolute;left:0pt;margin-top:714.8pt;height:7.2pt;width:21.35pt;mso-position-horizontal:outside;mso-position-horizontal-relative:margin;mso-position-vertical-relative:page;mso-wrap-style:none;z-index:251676672;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BoM5vG&#10;rgEAAHI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5648" behindDoc="0" locked="0" layoutInCell="1" allowOverlap="1">
              <wp:simplePos x="0" y="0"/>
              <wp:positionH relativeFrom="margin">
                <wp:align>outside</wp:align>
              </wp:positionH>
              <wp:positionV relativeFrom="page">
                <wp:posOffset>9077960</wp:posOffset>
              </wp:positionV>
              <wp:extent cx="335280" cy="91440"/>
              <wp:effectExtent l="0" t="0" r="0" b="0"/>
              <wp:wrapNone/>
              <wp:docPr id="127" name="Shape 127"/>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127" o:spid="_x0000_s1026" o:spt="202" type="#_x0000_t202" style="position:absolute;left:0pt;margin-top:714.8pt;height:7.2pt;width:26.4pt;mso-position-horizontal:outside;mso-position-horizontal-relative:margin;mso-position-vertical-relative:page;mso-wrap-style:none;z-index:251675648;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BRfvfUAAAA&#10;CQEAAA8AAAAAAAAAAQAgAAAAIgAAAGRycy9kb3ducmV2LnhtbFBLAQIUABQAAAAIAIdO4kDN6fWP&#10;rwEAAHIDAAAOAAAAAAAAAAEAIAAAACMBAABkcnMvZTJvRG9jLnhtbFBLBQYAAAAABgAGAFkBAABE&#10;BQ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8720" behindDoc="0" locked="0" layoutInCell="1" allowOverlap="1">
              <wp:simplePos x="0" y="0"/>
              <wp:positionH relativeFrom="margin">
                <wp:align>outside</wp:align>
              </wp:positionH>
              <wp:positionV relativeFrom="page">
                <wp:posOffset>9077960</wp:posOffset>
              </wp:positionV>
              <wp:extent cx="271145" cy="91440"/>
              <wp:effectExtent l="0" t="0" r="0" b="0"/>
              <wp:wrapNone/>
              <wp:docPr id="129" name="Shape 129"/>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129" o:spid="_x0000_s1026" o:spt="202" type="#_x0000_t202" style="position:absolute;left:0pt;margin-top:714.8pt;height:7.2pt;width:21.35pt;mso-position-horizontal:outside;mso-position-horizontal-relative:margin;mso-position-vertical-relative:page;mso-wrap-style:none;z-index:251678720;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DIJaYD&#10;rgEAAHI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7696" behindDoc="0" locked="0" layoutInCell="1" allowOverlap="1">
              <wp:simplePos x="0" y="0"/>
              <wp:positionH relativeFrom="margin">
                <wp:align>outside</wp:align>
              </wp:positionH>
              <wp:positionV relativeFrom="page">
                <wp:posOffset>9077960</wp:posOffset>
              </wp:positionV>
              <wp:extent cx="335280" cy="91440"/>
              <wp:effectExtent l="0" t="0" r="0" b="0"/>
              <wp:wrapNone/>
              <wp:docPr id="131" name="Shape 131"/>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wps:txbx>
                    <wps:bodyPr wrap="none" lIns="0" tIns="0" rIns="0" bIns="0">
                      <a:spAutoFit/>
                    </wps:bodyPr>
                  </wps:wsp>
                </a:graphicData>
              </a:graphic>
            </wp:anchor>
          </w:drawing>
        </mc:Choice>
        <mc:Fallback>
          <w:pict>
            <v:shape id="Shape 131" o:spid="_x0000_s1026" o:spt="202" type="#_x0000_t202" style="position:absolute;left:0pt;margin-top:714.8pt;height:7.2pt;width:26.4pt;mso-position-horizontal:outside;mso-position-horizontal-relative:margin;mso-position-vertical-relative:page;mso-wrap-style:none;z-index:251677696;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Ne8rxOu&#10;AQAAcgMAAA4AAAAAAAAAAQAgAAAAIwEAAGRycy9lMm9Eb2MueG1sUEsFBgAAAAAGAAYAWQEAAEMF&#10;AAAAAA==&#10;">
              <v:fill on="f" focussize="0,0"/>
              <v:stroke on="f"/>
              <v:imagedata o:title=""/>
              <o:lock v:ext="edit" aspectratio="f"/>
              <v:textbox inset="0mm,0mm,0mm,0mm" style="mso-fit-shape-to-text:t;">
                <w:txbxContent>
                  <w:p>
                    <w:pPr>
                      <w:pStyle w:val="24"/>
                    </w:pPr>
                    <w:r>
                      <w:t>-</w:t>
                    </w:r>
                    <w:r>
                      <w:fldChar w:fldCharType="begin"/>
                    </w:r>
                    <w:r>
                      <w:instrText xml:space="preserve"> PAGE \* MERGEFORMAT </w:instrText>
                    </w:r>
                    <w:r>
                      <w:fldChar w:fldCharType="separate"/>
                    </w:r>
                    <w:r>
                      <w:t>#</w:t>
                    </w:r>
                    <w:r>
                      <w:fldChar w:fldCharType="end"/>
                    </w:r>
                    <w:r>
                      <w:rPr>
                        <w:lang w:val="zh-TW" w:eastAsia="zh-TW" w:bidi="zh-TW"/>
                      </w:rPr>
                      <w:t>-</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9744" behindDoc="0" locked="0" layoutInCell="1" allowOverlap="1">
              <wp:simplePos x="0" y="0"/>
              <wp:positionH relativeFrom="margin">
                <wp:align>outside</wp:align>
              </wp:positionH>
              <wp:positionV relativeFrom="page">
                <wp:posOffset>9077960</wp:posOffset>
              </wp:positionV>
              <wp:extent cx="335280" cy="91440"/>
              <wp:effectExtent l="0" t="0" r="0" b="0"/>
              <wp:wrapNone/>
              <wp:docPr id="133" name="Shape 133"/>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wps:txbx>
                    <wps:bodyPr wrap="none" lIns="0" tIns="0" rIns="0" bIns="0">
                      <a:spAutoFit/>
                    </wps:bodyPr>
                  </wps:wsp>
                </a:graphicData>
              </a:graphic>
            </wp:anchor>
          </w:drawing>
        </mc:Choice>
        <mc:Fallback>
          <w:pict>
            <v:shape id="Shape 133" o:spid="_x0000_s1026" o:spt="202" type="#_x0000_t202" style="position:absolute;left:0pt;margin-top:714.8pt;height:7.2pt;width:26.4pt;mso-position-horizontal:outside;mso-position-horizontal-relative:margin;mso-position-vertical-relative:page;mso-wrap-style:none;z-index:251679744;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OfFJTKu&#10;AQAAcgMAAA4AAAAAAAAAAQAgAAAAIwEAAGRycy9lMm9Eb2MueG1sUEsFBgAAAAAGAAYAWQEAAEMF&#10;AAA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700224" behindDoc="0" locked="0" layoutInCell="1" allowOverlap="1">
              <wp:simplePos x="0" y="0"/>
              <wp:positionH relativeFrom="margin">
                <wp:align>outside</wp:align>
              </wp:positionH>
              <wp:positionV relativeFrom="page">
                <wp:posOffset>9077960</wp:posOffset>
              </wp:positionV>
              <wp:extent cx="271145" cy="91440"/>
              <wp:effectExtent l="0" t="0" r="0" b="0"/>
              <wp:wrapNone/>
              <wp:docPr id="8" name="Shape 1"/>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t>-</w:t>
                          </w:r>
                        </w:p>
                      </w:txbxContent>
                    </wps:txbx>
                    <wps:bodyPr wrap="none" lIns="0" tIns="0" rIns="0" bIns="0">
                      <a:spAutoFit/>
                    </wps:bodyPr>
                  </wps:wsp>
                </a:graphicData>
              </a:graphic>
            </wp:anchor>
          </w:drawing>
        </mc:Choice>
        <mc:Fallback>
          <w:pict>
            <v:shape id="Shape 1" o:spid="_x0000_s1026" o:spt="202" type="#_x0000_t202" style="position:absolute;left:0pt;margin-top:714.8pt;height:7.2pt;width:21.35pt;mso-position-horizontal:outside;mso-position-horizontal-relative:margin;mso-position-vertical-relative:page;mso-wrap-style:none;z-index:251700224;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edSOl1QAAAAkB&#10;AAAPAAAAAAAAAAEAIAAAACIAAABkcnMvZG93bnJldi54bWxQSwECFAAUAAAACACHTuJAI5PsLawB&#10;AABuAwAADgAAAAAAAAABACAAAAAkAQAAZHJzL2Uyb0RvYy54bWxQSwUGAAAAAAYABgBZAQAAQgUA&#10;A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t>-</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0768" behindDoc="0" locked="0" layoutInCell="1" allowOverlap="1">
              <wp:simplePos x="0" y="0"/>
              <wp:positionH relativeFrom="margin">
                <wp:align>outside</wp:align>
              </wp:positionH>
              <wp:positionV relativeFrom="page">
                <wp:posOffset>9077960</wp:posOffset>
              </wp:positionV>
              <wp:extent cx="271145" cy="91440"/>
              <wp:effectExtent l="0" t="0" r="0" b="0"/>
              <wp:wrapNone/>
              <wp:docPr id="135" name="Shape 135"/>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135" o:spid="_x0000_s1026" o:spt="202" type="#_x0000_t202" style="position:absolute;left:0pt;margin-top:714.8pt;height:7.2pt;width:21.35pt;mso-position-horizontal:outside;mso-position-horizontal-relative:margin;mso-position-vertical-relative:page;mso-wrap-style:none;z-index:251680768;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51I6XVAAAA&#10;CQEAAA8AAAAAAAAAAQAgAAAAIgAAAGRycy9kb3ducmV2LnhtbFBLAQIUABQAAAAIAIdO4kAi7V84&#10;rgEAAHIDAAAOAAAAAAAAAAEAIAAAACQBAABkcnMvZTJvRG9jLnhtbFBLBQYAAAAABgAGAFkBAABE&#10;BQ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9744" behindDoc="0" locked="0" layoutInCell="1" allowOverlap="1">
              <wp:simplePos x="0" y="0"/>
              <wp:positionH relativeFrom="margin">
                <wp:align>outside</wp:align>
              </wp:positionH>
              <wp:positionV relativeFrom="page">
                <wp:posOffset>9077960</wp:posOffset>
              </wp:positionV>
              <wp:extent cx="271145" cy="91440"/>
              <wp:effectExtent l="0" t="0" r="0" b="0"/>
              <wp:wrapNone/>
              <wp:docPr id="137" name="Shape 137"/>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137" o:spid="_x0000_s1026" o:spt="202" type="#_x0000_t202" style="position:absolute;left:0pt;margin-top:714.8pt;height:7.2pt;width:21.35pt;mso-position-horizontal:outside;mso-position-horizontal-relative:margin;mso-position-vertical-relative:page;mso-wrap-style:none;z-index:251679744;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dSOl1QAA&#10;AAkBAAAPAAAAAAAAAAEAIAAAACIAAABkcnMvZG93bnJldi54bWxQSwECFAAUAAAACACHTuJAEpTV&#10;Ga8BAAByAwAADgAAAAAAAAABACAAAAAkAQAAZHJzL2Uyb0RvYy54bWxQSwUGAAAAAAYABgBZAQAA&#10;RQU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1792" behindDoc="0" locked="0" layoutInCell="1" allowOverlap="1">
              <wp:simplePos x="0" y="0"/>
              <wp:positionH relativeFrom="margin">
                <wp:align>outside</wp:align>
              </wp:positionH>
              <wp:positionV relativeFrom="page">
                <wp:posOffset>9077960</wp:posOffset>
              </wp:positionV>
              <wp:extent cx="335280" cy="91440"/>
              <wp:effectExtent l="0" t="0" r="0" b="0"/>
              <wp:wrapNone/>
              <wp:docPr id="139" name="Shape 139"/>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wps:txbx>
                    <wps:bodyPr wrap="none" lIns="0" tIns="0" rIns="0" bIns="0">
                      <a:spAutoFit/>
                    </wps:bodyPr>
                  </wps:wsp>
                </a:graphicData>
              </a:graphic>
            </wp:anchor>
          </w:drawing>
        </mc:Choice>
        <mc:Fallback>
          <w:pict>
            <v:shape id="Shape 139" o:spid="_x0000_s1026" o:spt="202" type="#_x0000_t202" style="position:absolute;left:0pt;margin-top:714.8pt;height:7.2pt;width:26.4pt;mso-position-horizontal:outside;mso-position-horizontal-relative:margin;mso-position-vertical-relative:page;mso-wrap-style:none;z-index:251681792;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F+99QAAAAJ&#10;AQAADwAAAAAAAAABACAAAAAiAAAAZHJzL2Rvd25yZXYueG1sUEsBAhQAFAAAAAgAh07iQBdYhpWu&#10;AQAAcgMAAA4AAAAAAAAAAQAgAAAAIwEAAGRycy9lMm9Eb2MueG1sUEsFBgAAAAAGAAYAWQEAAEMF&#10;AAA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701248" behindDoc="0" locked="0" layoutInCell="1" allowOverlap="1">
              <wp:simplePos x="0" y="0"/>
              <wp:positionH relativeFrom="margin">
                <wp:align>outside</wp:align>
              </wp:positionH>
              <wp:positionV relativeFrom="page">
                <wp:posOffset>9077960</wp:posOffset>
              </wp:positionV>
              <wp:extent cx="335280" cy="91440"/>
              <wp:effectExtent l="0" t="0" r="0" b="0"/>
              <wp:wrapNone/>
              <wp:docPr id="10" name="Shape 3"/>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wps:txbx>
                    <wps:bodyPr wrap="none" lIns="0" tIns="0" rIns="0" bIns="0">
                      <a:spAutoFit/>
                    </wps:bodyPr>
                  </wps:wsp>
                </a:graphicData>
              </a:graphic>
            </wp:anchor>
          </w:drawing>
        </mc:Choice>
        <mc:Fallback>
          <w:pict>
            <v:shape id="Shape 3" o:spid="_x0000_s1026" o:spt="202" type="#_x0000_t202" style="position:absolute;left:0pt;margin-top:714.8pt;height:7.2pt;width:26.4pt;mso-position-horizontal:outside;mso-position-horizontal-relative:margin;mso-position-vertical-relative:page;mso-wrap-style:none;z-index:251701248;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BRfvfUAAAACQEA&#10;AA8AAAAAAAAAAQAgAAAAIgAAAGRycy9kb3ducmV2LnhtbFBLAQIUABQAAAAIAIdO4kA9NghqrAEA&#10;AG8DAAAOAAAAAAAAAAEAIAAAACMBAABkcnMvZTJvRG9jLnhtbFBLBQYAAAAABgAGAFkBAABBBQAA&#10;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702272" behindDoc="0" locked="0" layoutInCell="1" allowOverlap="1">
              <wp:simplePos x="0" y="0"/>
              <wp:positionH relativeFrom="margin">
                <wp:align>outside</wp:align>
              </wp:positionH>
              <wp:positionV relativeFrom="page">
                <wp:posOffset>9077960</wp:posOffset>
              </wp:positionV>
              <wp:extent cx="271145" cy="91440"/>
              <wp:effectExtent l="0" t="0" r="0" b="0"/>
              <wp:wrapNone/>
              <wp:docPr id="12" name="Shape 5"/>
              <wp:cNvGraphicFramePr/>
              <a:graphic xmlns:a="http://schemas.openxmlformats.org/drawingml/2006/main">
                <a:graphicData uri="http://schemas.microsoft.com/office/word/2010/wordprocessingShape">
                  <wps:wsp>
                    <wps:cNvSpPr txBox="1"/>
                    <wps:spPr>
                      <a:xfrm>
                        <a:off x="0" y="0"/>
                        <a:ext cx="271145" cy="91440"/>
                      </a:xfrm>
                      <a:prstGeom prst="rect">
                        <a:avLst/>
                      </a:prstGeom>
                      <a:noFill/>
                    </wps:spPr>
                    <wps:txbx>
                      <w:txbxContent>
                        <w:p>
                          <w:pPr>
                            <w:pStyle w:val="16"/>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5" o:spid="_x0000_s1026" o:spt="202" type="#_x0000_t202" style="position:absolute;left:0pt;margin-top:714.8pt;height:7.2pt;width:21.35pt;mso-position-horizontal:outside;mso-position-horizontal-relative:margin;mso-position-vertical-relative:page;mso-wrap-style:none;z-index:251702272;mso-width-relative:page;mso-height-relative:page;" filled="f" stroked="f" coordsize="21600,21600" o:gfxdata="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nUjpdUAAAAJ&#10;AQAADwAAAAAAAAABACAAAAAiAAAAZHJzL2Rvd25yZXYueG1sUEsBAhQAFAAAAAgAh07iQJ+U9vSt&#10;AQAAbwMAAA4AAAAAAAAAAQAgAAAAJAEAAGRycy9lMm9Eb2MueG1sUEsFBgAAAAAGAAYAWQEAAEMF&#10;AAAAAA==&#10;">
              <v:fill on="f" focussize="0,0"/>
              <v:stroke on="f"/>
              <v:imagedata o:title=""/>
              <o:lock v:ext="edit" aspectratio="f"/>
              <v:textbox inset="0mm,0mm,0mm,0mm" style="mso-fit-shape-to-text:t;">
                <w:txbxContent>
                  <w:p>
                    <w:pPr>
                      <w:pStyle w:val="16"/>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3360" behindDoc="0" locked="0" layoutInCell="1" allowOverlap="1">
              <wp:simplePos x="0" y="0"/>
              <wp:positionH relativeFrom="margin">
                <wp:align>outside</wp:align>
              </wp:positionH>
              <wp:positionV relativeFrom="page">
                <wp:posOffset>9077960</wp:posOffset>
              </wp:positionV>
              <wp:extent cx="225425" cy="125730"/>
              <wp:effectExtent l="0" t="0" r="0" b="0"/>
              <wp:wrapNone/>
              <wp:docPr id="7" name="Shape 7"/>
              <wp:cNvGraphicFramePr/>
              <a:graphic xmlns:a="http://schemas.openxmlformats.org/drawingml/2006/main">
                <a:graphicData uri="http://schemas.microsoft.com/office/word/2010/wordprocessingShape">
                  <wps:wsp>
                    <wps:cNvSpPr txBox="1"/>
                    <wps:spPr>
                      <a:xfrm>
                        <a:off x="0" y="0"/>
                        <a:ext cx="225188" cy="125578"/>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t>-</w:t>
                          </w:r>
                        </w:p>
                      </w:txbxContent>
                    </wps:txbx>
                    <wps:bodyPr wrap="square" lIns="0" tIns="0" rIns="0" bIns="0">
                      <a:noAutofit/>
                    </wps:bodyPr>
                  </wps:wsp>
                </a:graphicData>
              </a:graphic>
            </wp:anchor>
          </w:drawing>
        </mc:Choice>
        <mc:Fallback>
          <w:pict>
            <v:shape id="Shape 7" o:spid="_x0000_s1026" o:spt="202" type="#_x0000_t202" style="position:absolute;left:0pt;margin-top:714.8pt;height:9.9pt;width:17.75pt;mso-position-horizontal:outside;mso-position-horizontal-relative:margin;mso-position-vertical-relative:page;z-index:251663360;mso-width-relative:page;mso-height-relative:page;" filled="f" stroked="f" coordsize="21600,21600" o:gfxdata="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Hu18dgA&#10;AAAJAQAADwAAAAAAAAABACAAAAAiAAAAZHJzL2Rvd25yZXYueG1sUEsBAhQAFAAAAAgAh07iQN/S&#10;GGWtAQAAcQMAAA4AAAAAAAAAAQAgAAAAJwEAAGRycy9lMm9Eb2MueG1sUEsFBgAAAAAGAAYAWQEA&#10;AEYFAAAAAA==&#10;">
              <v:fill on="f" focussize="0,0"/>
              <v:stroke on="f"/>
              <v:imagedata o:title=""/>
              <o:lock v:ext="edit" aspectratio="f"/>
              <v:textbox inset="0mm,0mm,0mm,0mm">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0" locked="0" layoutInCell="1" allowOverlap="1">
              <wp:simplePos x="0" y="0"/>
              <wp:positionH relativeFrom="margin">
                <wp:align>outside</wp:align>
              </wp:positionH>
              <wp:positionV relativeFrom="page">
                <wp:posOffset>9077960</wp:posOffset>
              </wp:positionV>
              <wp:extent cx="26606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266131"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wps:txbx>
                    <wps:bodyPr wrap="square" lIns="0" tIns="0" rIns="0" bIns="0">
                      <a:spAutoFit/>
                    </wps:bodyPr>
                  </wps:wsp>
                </a:graphicData>
              </a:graphic>
            </wp:anchor>
          </w:drawing>
        </mc:Choice>
        <mc:Fallback>
          <w:pict>
            <v:shape id="Shape 9" o:spid="_x0000_s1026" o:spt="202" type="#_x0000_t202" style="position:absolute;left:0pt;margin-top:714.8pt;height:7.2pt;width:20.95pt;mso-position-horizontal:outside;mso-position-horizontal-relative:margin;mso-position-vertical-relative:page;z-index:251662336;mso-width-relative:page;mso-height-relative:page;" filled="f" stroked="f" coordsize="21600,21600" o:gfxdata="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8bBcHVAAAA&#10;CQEAAA8AAAAAAAAAAQAgAAAAIgAAAGRycy9kb3ducmV2LnhtbFBLAQIUABQAAAAIAIdO4kBHMMt1&#10;rgEAAHADAAAOAAAAAAAAAAEAIAAAACQBAABkcnMvZTJvRG9jLnhtbFBLBQYAAAAABgAGAFkBAABE&#10;BQAA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rPr>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4384" behindDoc="0" locked="0" layoutInCell="1" allowOverlap="1">
              <wp:simplePos x="0" y="0"/>
              <wp:positionH relativeFrom="margin">
                <wp:align>outside</wp:align>
              </wp:positionH>
              <wp:positionV relativeFrom="page">
                <wp:posOffset>9077960</wp:posOffset>
              </wp:positionV>
              <wp:extent cx="33528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335280" cy="91440"/>
                      </a:xfrm>
                      <a:prstGeom prst="rect">
                        <a:avLst/>
                      </a:prstGeom>
                      <a:noFill/>
                    </wps:spPr>
                    <wps:txbx>
                      <w:txbxContent>
                        <w:p>
                          <w:pPr>
                            <w:pStyle w:val="16"/>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11" o:spid="_x0000_s1026" o:spt="202" type="#_x0000_t202" style="position:absolute;left:0pt;margin-top:714.8pt;height:7.2pt;width:26.4pt;mso-position-horizontal:outside;mso-position-horizontal-relative:margin;mso-position-vertical-relative:page;mso-wrap-style:none;z-index:251664384;mso-width-relative:page;mso-height-relative:page;" filled="f" stroked="f" coordsize="21600,21600" o:gfxdata="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QUX731AAAAAkB&#10;AAAPAAAAAAAAAAEAIAAAACIAAABkcnMvZG93bnJldi54bWxQSwECFAAUAAAACACHTuJA2LyBuK0B&#10;AABwAwAADgAAAAAAAAABACAAAAAjAQAAZHJzL2Uyb0RvYy54bWxQSwUGAAAAAAYABgBZAQAAQgUA&#10;AAAA&#10;">
              <v:fill on="f" focussize="0,0"/>
              <v:stroke on="f"/>
              <v:imagedata o:title=""/>
              <o:lock v:ext="edit" aspectratio="f"/>
              <v:textbox inset="0mm,0mm,0mm,0mm" style="mso-fit-shape-to-text:t;">
                <w:txbxContent>
                  <w:p>
                    <w:pPr>
                      <w:pStyle w:val="16"/>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bC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bC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bCs/>
      </w:rPr>
    </w:pPr>
    <w:r>
      <w:rPr>
        <w:rFonts w:hint="eastAsia"/>
        <w:b/>
        <w:bCs/>
        <w:sz w:val="22"/>
        <w:szCs w:val="22"/>
        <w:lang w:eastAsia="zh-CN"/>
      </w:rPr>
      <w:t>服务指南三</w:t>
    </w:r>
    <w:r>
      <w:rPr>
        <w:rFonts w:hint="eastAsia"/>
        <w:b/>
        <w:bCs/>
        <w:lang w:eastAsia="zh-CN"/>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bCs/>
        <w:sz w:val="22"/>
        <w:szCs w:val="22"/>
        <w:lang w:eastAsia="zh-CN"/>
      </w:rPr>
    </w:pPr>
  </w:p>
  <w:p>
    <w:pPr>
      <w:rPr>
        <w:b/>
        <w:bCs/>
        <w:sz w:val="22"/>
        <w:szCs w:val="22"/>
        <w:lang w:eastAsia="zh-CN"/>
      </w:rPr>
    </w:pPr>
  </w:p>
  <w:p>
    <w:pPr>
      <w:rPr>
        <w:b/>
        <w:bCs/>
        <w:sz w:val="22"/>
        <w:szCs w:val="22"/>
        <w:lang w:eastAsia="zh-CN"/>
      </w:rPr>
    </w:pPr>
  </w:p>
  <w:p>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lang w:eastAsia="zh-CN"/>
      </w:rPr>
    </w:pPr>
  </w:p>
  <w:p>
    <w:pPr>
      <w:spacing w:line="1" w:lineRule="exact"/>
      <w:rPr>
        <w:lang w:eastAsia="zh-CN"/>
      </w:rPr>
    </w:pPr>
  </w:p>
  <w:p>
    <w:pPr>
      <w:spacing w:line="1" w:lineRule="exact"/>
      <w:rPr>
        <w:lang w:eastAsia="zh-CN"/>
      </w:rPr>
    </w:pPr>
  </w:p>
  <w:p>
    <w:pPr>
      <w:spacing w:line="1" w:lineRule="exact"/>
      <w:rPr>
        <w:lang w:eastAsia="zh-CN"/>
      </w:rPr>
    </w:pPr>
  </w:p>
  <w:p>
    <w:pPr>
      <w:spacing w:line="1" w:lineRule="exact"/>
      <w:rPr>
        <w:lang w:eastAsia="zh-CN"/>
      </w:rPr>
    </w:pPr>
  </w:p>
  <w:p>
    <w:pPr>
      <w:spacing w:line="1" w:lineRule="exact"/>
      <w:rPr>
        <w:lang w:eastAsia="zh-CN"/>
      </w:rPr>
    </w:pPr>
  </w:p>
  <w:p>
    <w:pPr>
      <w:spacing w:line="1" w:lineRule="exact"/>
      <w:rPr>
        <w:lang w:eastAsia="zh-CN"/>
      </w:rPr>
    </w:pPr>
  </w:p>
  <w:p>
    <w:pPr>
      <w:spacing w:line="1" w:lineRule="exact"/>
      <w:rPr>
        <w:lang w:eastAsia="zh-CN"/>
      </w:rPr>
    </w:pPr>
  </w:p>
  <w:p>
    <w:pPr>
      <w:spacing w:line="1" w:lineRule="exact"/>
    </w:pPr>
    <w:r>
      <w:rPr>
        <w:rFonts w:hint="eastAsia"/>
        <w:lang w:eastAsia="zh-CN"/>
      </w:rPr>
      <w:t>fu</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3840" behindDoc="1" locked="0" layoutInCell="1" allowOverlap="1">
              <wp:simplePos x="0" y="0"/>
              <wp:positionH relativeFrom="page">
                <wp:posOffset>486410</wp:posOffset>
              </wp:positionH>
              <wp:positionV relativeFrom="page">
                <wp:posOffset>601345</wp:posOffset>
              </wp:positionV>
              <wp:extent cx="387350" cy="125095"/>
              <wp:effectExtent l="0" t="0" r="0" b="0"/>
              <wp:wrapNone/>
              <wp:docPr id="141" name="Shape 141"/>
              <wp:cNvGraphicFramePr/>
              <a:graphic xmlns:a="http://schemas.openxmlformats.org/drawingml/2006/main">
                <a:graphicData uri="http://schemas.microsoft.com/office/word/2010/wordprocessingShape">
                  <wps:wsp>
                    <wps:cNvSpPr txBox="1"/>
                    <wps:spPr>
                      <a:xfrm>
                        <a:off x="0" y="0"/>
                        <a:ext cx="387350" cy="125095"/>
                      </a:xfrm>
                      <a:prstGeom prst="rect">
                        <a:avLst/>
                      </a:prstGeom>
                      <a:noFill/>
                    </wps:spPr>
                    <wps:txbx>
                      <w:txbxContent>
                        <w:p>
                          <w:pPr>
                            <w:pStyle w:val="24"/>
                          </w:pPr>
                          <w:r>
                            <w:rPr>
                              <w:rFonts w:ascii="宋体" w:hAnsi="宋体"/>
                              <w:sz w:val="18"/>
                              <w:szCs w:val="18"/>
                              <w:lang w:val="zh-TW" w:eastAsia="zh-TW" w:bidi="zh-TW"/>
                            </w:rPr>
                            <w:t>附件</w:t>
                          </w:r>
                          <w:r>
                            <w:rPr>
                              <w:lang w:val="zh-CN" w:eastAsia="zh-CN" w:bidi="zh-CN"/>
                            </w:rPr>
                            <w:t>1:</w:t>
                          </w:r>
                        </w:p>
                      </w:txbxContent>
                    </wps:txbx>
                    <wps:bodyPr wrap="none" lIns="0" tIns="0" rIns="0" bIns="0">
                      <a:spAutoFit/>
                    </wps:bodyPr>
                  </wps:wsp>
                </a:graphicData>
              </a:graphic>
            </wp:anchor>
          </w:drawing>
        </mc:Choice>
        <mc:Fallback>
          <w:pict>
            <v:shape id="Shape 141" o:spid="_x0000_s1026" o:spt="202" type="#_x0000_t202" style="position:absolute;left:0pt;margin-left:38.3pt;margin-top:47.35pt;height:9.85pt;width:30.5pt;mso-position-horizontal-relative:page;mso-position-vertical-relative:page;mso-wrap-style:none;z-index:-251632640;mso-width-relative:page;mso-height-relative:page;" filled="f" stroked="f" coordsize="21600,21600" o:gfxdata="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olbBbVAAAA&#10;CQEAAA8AAAAAAAAAAQAgAAAAIgAAAGRycy9kb3ducmV2LnhtbFBLAQIUABQAAAAIAIdO4kCnX9pf&#10;rgEAAHMDAAAOAAAAAAAAAAEAIAAAACQBAABkcnMvZTJvRG9jLnhtbFBLBQYAAAAABgAGAFkBAABE&#10;BQAAAAA=&#10;">
              <v:fill on="f" focussize="0,0"/>
              <v:stroke on="f"/>
              <v:imagedata o:title=""/>
              <o:lock v:ext="edit" aspectratio="f"/>
              <v:textbox inset="0mm,0mm,0mm,0mm" style="mso-fit-shape-to-text:t;">
                <w:txbxContent>
                  <w:p>
                    <w:pPr>
                      <w:pStyle w:val="24"/>
                    </w:pPr>
                    <w:r>
                      <w:rPr>
                        <w:rFonts w:ascii="宋体" w:hAnsi="宋体"/>
                        <w:sz w:val="18"/>
                        <w:szCs w:val="18"/>
                        <w:lang w:val="zh-TW" w:eastAsia="zh-TW" w:bidi="zh-TW"/>
                      </w:rPr>
                      <w:t>附件</w:t>
                    </w:r>
                    <w:r>
                      <w:rPr>
                        <w:lang w:val="zh-CN" w:eastAsia="zh-CN" w:bidi="zh-CN"/>
                      </w:rPr>
                      <w:t>1:</w:t>
                    </w:r>
                  </w:p>
                </w:txbxContent>
              </v:textbox>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2816" behindDoc="1" locked="0" layoutInCell="1" allowOverlap="1">
              <wp:simplePos x="0" y="0"/>
              <wp:positionH relativeFrom="page">
                <wp:posOffset>486410</wp:posOffset>
              </wp:positionH>
              <wp:positionV relativeFrom="page">
                <wp:posOffset>601345</wp:posOffset>
              </wp:positionV>
              <wp:extent cx="387350" cy="125095"/>
              <wp:effectExtent l="0" t="0" r="0" b="0"/>
              <wp:wrapNone/>
              <wp:docPr id="143" name="Shape 143"/>
              <wp:cNvGraphicFramePr/>
              <a:graphic xmlns:a="http://schemas.openxmlformats.org/drawingml/2006/main">
                <a:graphicData uri="http://schemas.microsoft.com/office/word/2010/wordprocessingShape">
                  <wps:wsp>
                    <wps:cNvSpPr txBox="1"/>
                    <wps:spPr>
                      <a:xfrm>
                        <a:off x="0" y="0"/>
                        <a:ext cx="387350" cy="125095"/>
                      </a:xfrm>
                      <a:prstGeom prst="rect">
                        <a:avLst/>
                      </a:prstGeom>
                      <a:noFill/>
                    </wps:spPr>
                    <wps:txbx>
                      <w:txbxContent>
                        <w:p>
                          <w:pPr>
                            <w:pStyle w:val="24"/>
                          </w:pPr>
                          <w:r>
                            <w:rPr>
                              <w:rFonts w:ascii="宋体" w:hAnsi="宋体"/>
                              <w:sz w:val="18"/>
                              <w:szCs w:val="18"/>
                              <w:lang w:val="zh-TW" w:eastAsia="zh-TW" w:bidi="zh-TW"/>
                            </w:rPr>
                            <w:t>附件</w:t>
                          </w:r>
                          <w:r>
                            <w:rPr>
                              <w:lang w:val="zh-CN" w:eastAsia="zh-CN" w:bidi="zh-CN"/>
                            </w:rPr>
                            <w:t>1:</w:t>
                          </w:r>
                        </w:p>
                      </w:txbxContent>
                    </wps:txbx>
                    <wps:bodyPr wrap="none" lIns="0" tIns="0" rIns="0" bIns="0">
                      <a:spAutoFit/>
                    </wps:bodyPr>
                  </wps:wsp>
                </a:graphicData>
              </a:graphic>
            </wp:anchor>
          </w:drawing>
        </mc:Choice>
        <mc:Fallback>
          <w:pict>
            <v:shape id="Shape 143" o:spid="_x0000_s1026" o:spt="202" type="#_x0000_t202" style="position:absolute;left:0pt;margin-left:38.3pt;margin-top:47.35pt;height:9.85pt;width:30.5pt;mso-position-horizontal-relative:page;mso-position-vertical-relative:page;mso-wrap-style:none;z-index:-251633664;mso-width-relative:page;mso-height-relative:page;" filled="f" stroked="f" coordsize="21600,21600" o:gfxdata="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olbBbVAAAA&#10;CQEAAA8AAAAAAAAAAQAgAAAAIgAAAGRycy9kb3ducmV2LnhtbFBLAQIUABQAAAAIAIdO4kBy5SJ5&#10;rgEAAHMDAAAOAAAAAAAAAAEAIAAAACQBAABkcnMvZTJvRG9jLnhtbFBLBQYAAAAABgAGAFkBAABE&#10;BQAAAAA=&#10;">
              <v:fill on="f" focussize="0,0"/>
              <v:stroke on="f"/>
              <v:imagedata o:title=""/>
              <o:lock v:ext="edit" aspectratio="f"/>
              <v:textbox inset="0mm,0mm,0mm,0mm" style="mso-fit-shape-to-text:t;">
                <w:txbxContent>
                  <w:p>
                    <w:pPr>
                      <w:pStyle w:val="24"/>
                    </w:pPr>
                    <w:r>
                      <w:rPr>
                        <w:rFonts w:ascii="宋体" w:hAnsi="宋体"/>
                        <w:sz w:val="18"/>
                        <w:szCs w:val="18"/>
                        <w:lang w:val="zh-TW" w:eastAsia="zh-TW" w:bidi="zh-TW"/>
                      </w:rPr>
                      <w:t>附件</w:t>
                    </w:r>
                    <w:r>
                      <w:rPr>
                        <w:lang w:val="zh-CN" w:eastAsia="zh-CN" w:bidi="zh-CN"/>
                      </w:rPr>
                      <w:t>1:</w:t>
                    </w:r>
                  </w:p>
                </w:txbxContent>
              </v:textbox>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E8025"/>
    <w:multiLevelType w:val="singleLevel"/>
    <w:tmpl w:val="936E8025"/>
    <w:lvl w:ilvl="0" w:tentative="0">
      <w:start w:val="1"/>
      <w:numFmt w:val="chineseCounting"/>
      <w:suff w:val="space"/>
      <w:lvlText w:val="第%1条"/>
      <w:lvlJc w:val="left"/>
      <w:rPr>
        <w:rFonts w:hint="eastAsia"/>
      </w:rPr>
    </w:lvl>
  </w:abstractNum>
  <w:abstractNum w:abstractNumId="1">
    <w:nsid w:val="9BF852B4"/>
    <w:multiLevelType w:val="singleLevel"/>
    <w:tmpl w:val="9BF852B4"/>
    <w:lvl w:ilvl="0" w:tentative="0">
      <w:start w:val="1"/>
      <w:numFmt w:val="chineseCounting"/>
      <w:suff w:val="space"/>
      <w:lvlText w:val="(%1)"/>
      <w:lvlJc w:val="left"/>
      <w:rPr>
        <w:rFonts w:hint="eastAsia"/>
      </w:rPr>
    </w:lvl>
  </w:abstractNum>
  <w:abstractNum w:abstractNumId="2">
    <w:nsid w:val="E1A437B3"/>
    <w:multiLevelType w:val="singleLevel"/>
    <w:tmpl w:val="E1A437B3"/>
    <w:lvl w:ilvl="0" w:tentative="0">
      <w:start w:val="1"/>
      <w:numFmt w:val="decimal"/>
      <w:suff w:val="space"/>
      <w:lvlText w:val="(%1)"/>
      <w:lvlJc w:val="left"/>
    </w:lvl>
  </w:abstractNum>
  <w:abstractNum w:abstractNumId="3">
    <w:nsid w:val="E396D4EF"/>
    <w:multiLevelType w:val="singleLevel"/>
    <w:tmpl w:val="E396D4EF"/>
    <w:lvl w:ilvl="0" w:tentative="0">
      <w:start w:val="1"/>
      <w:numFmt w:val="chineseCounting"/>
      <w:lvlText w:val="(%1)"/>
      <w:lvlJc w:val="left"/>
      <w:pPr>
        <w:tabs>
          <w:tab w:val="left" w:pos="312"/>
        </w:tabs>
      </w:pPr>
      <w:rPr>
        <w:rFonts w:hint="eastAsia"/>
      </w:rPr>
    </w:lvl>
  </w:abstractNum>
  <w:abstractNum w:abstractNumId="4">
    <w:nsid w:val="E863B281"/>
    <w:multiLevelType w:val="singleLevel"/>
    <w:tmpl w:val="E863B281"/>
    <w:lvl w:ilvl="0" w:tentative="0">
      <w:start w:val="1"/>
      <w:numFmt w:val="chineseCounting"/>
      <w:suff w:val="space"/>
      <w:lvlText w:val="（%1）"/>
      <w:lvlJc w:val="left"/>
      <w:rPr>
        <w:rFonts w:hint="eastAsia"/>
      </w:rPr>
    </w:lvl>
  </w:abstractNum>
  <w:abstractNum w:abstractNumId="5">
    <w:nsid w:val="00CB083B"/>
    <w:multiLevelType w:val="multilevel"/>
    <w:tmpl w:val="00CB083B"/>
    <w:lvl w:ilvl="0" w:tentative="0">
      <w:start w:val="1"/>
      <w:numFmt w:val="japaneseCounting"/>
      <w:lvlText w:val="（%1）"/>
      <w:lvlJc w:val="left"/>
      <w:pPr>
        <w:ind w:left="1050" w:hanging="63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2FF73CB"/>
    <w:multiLevelType w:val="multilevel"/>
    <w:tmpl w:val="12FF73CB"/>
    <w:lvl w:ilvl="0" w:tentative="0">
      <w:start w:val="1"/>
      <w:numFmt w:val="japaneseCounting"/>
      <w:lvlText w:val="第%1条"/>
      <w:lvlJc w:val="left"/>
      <w:pPr>
        <w:ind w:left="1140" w:hanging="720"/>
      </w:pPr>
      <w:rPr>
        <w:rFonts w:hint="default" w:eastAsia="宋体"/>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92A284E"/>
    <w:multiLevelType w:val="multilevel"/>
    <w:tmpl w:val="192A284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B8A56F8"/>
    <w:multiLevelType w:val="singleLevel"/>
    <w:tmpl w:val="3B8A56F8"/>
    <w:lvl w:ilvl="0" w:tentative="0">
      <w:start w:val="1"/>
      <w:numFmt w:val="decimal"/>
      <w:lvlText w:val="%1."/>
      <w:lvlJc w:val="left"/>
      <w:pPr>
        <w:tabs>
          <w:tab w:val="left" w:pos="312"/>
        </w:tabs>
      </w:pPr>
    </w:lvl>
  </w:abstractNum>
  <w:abstractNum w:abstractNumId="9">
    <w:nsid w:val="4C3906C8"/>
    <w:multiLevelType w:val="singleLevel"/>
    <w:tmpl w:val="4C3906C8"/>
    <w:lvl w:ilvl="0" w:tentative="0">
      <w:start w:val="1"/>
      <w:numFmt w:val="chineseCounting"/>
      <w:suff w:val="space"/>
      <w:lvlText w:val="第%1条"/>
      <w:lvlJc w:val="left"/>
      <w:rPr>
        <w:rFonts w:hint="eastAsia"/>
      </w:rPr>
    </w:lvl>
  </w:abstractNum>
  <w:abstractNum w:abstractNumId="10">
    <w:nsid w:val="5A6C942B"/>
    <w:multiLevelType w:val="singleLevel"/>
    <w:tmpl w:val="5A6C942B"/>
    <w:lvl w:ilvl="0" w:tentative="0">
      <w:start w:val="1"/>
      <w:numFmt w:val="decimal"/>
      <w:suff w:val="nothing"/>
      <w:lvlText w:val="%1、"/>
      <w:lvlJc w:val="left"/>
    </w:lvl>
  </w:abstractNum>
  <w:abstractNum w:abstractNumId="11">
    <w:nsid w:val="661BC474"/>
    <w:multiLevelType w:val="singleLevel"/>
    <w:tmpl w:val="661BC474"/>
    <w:lvl w:ilvl="0" w:tentative="0">
      <w:start w:val="1"/>
      <w:numFmt w:val="chineseCounting"/>
      <w:suff w:val="space"/>
      <w:lvlText w:val="第%1章"/>
      <w:lvlJc w:val="left"/>
      <w:rPr>
        <w:rFonts w:hint="eastAsia"/>
        <w:sz w:val="18"/>
        <w:szCs w:val="18"/>
      </w:rPr>
    </w:lvl>
  </w:abstractNum>
  <w:abstractNum w:abstractNumId="12">
    <w:nsid w:val="74826BE5"/>
    <w:multiLevelType w:val="singleLevel"/>
    <w:tmpl w:val="74826BE5"/>
    <w:lvl w:ilvl="0" w:tentative="0">
      <w:start w:val="1"/>
      <w:numFmt w:val="decimal"/>
      <w:suff w:val="space"/>
      <w:lvlText w:val="(%1)"/>
      <w:lvlJc w:val="left"/>
    </w:lvl>
  </w:abstractNum>
  <w:num w:numId="1">
    <w:abstractNumId w:val="7"/>
  </w:num>
  <w:num w:numId="2">
    <w:abstractNumId w:val="5"/>
  </w:num>
  <w:num w:numId="3">
    <w:abstractNumId w:val="4"/>
  </w:num>
  <w:num w:numId="4">
    <w:abstractNumId w:val="0"/>
  </w:num>
  <w:num w:numId="5">
    <w:abstractNumId w:val="1"/>
  </w:num>
  <w:num w:numId="6">
    <w:abstractNumId w:val="11"/>
  </w:num>
  <w:num w:numId="7">
    <w:abstractNumId w:val="6"/>
  </w:num>
  <w:num w:numId="8">
    <w:abstractNumId w:val="9"/>
  </w:num>
  <w:num w:numId="9">
    <w:abstractNumId w:val="8"/>
  </w:num>
  <w:num w:numId="10">
    <w:abstractNumId w:val="3"/>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DUyNWI1ZDRiOTljYjA5ZTNjODg5NGEwNDI4MjIifQ=="/>
  </w:docVars>
  <w:rsids>
    <w:rsidRoot w:val="0092521D"/>
    <w:rsid w:val="00000651"/>
    <w:rsid w:val="000031AD"/>
    <w:rsid w:val="000106FE"/>
    <w:rsid w:val="00012A9E"/>
    <w:rsid w:val="00022348"/>
    <w:rsid w:val="00033D26"/>
    <w:rsid w:val="000523E3"/>
    <w:rsid w:val="000725D9"/>
    <w:rsid w:val="000731C0"/>
    <w:rsid w:val="00090A08"/>
    <w:rsid w:val="000964C6"/>
    <w:rsid w:val="000A75ED"/>
    <w:rsid w:val="000B29BC"/>
    <w:rsid w:val="000B54F9"/>
    <w:rsid w:val="000B7B82"/>
    <w:rsid w:val="000C0367"/>
    <w:rsid w:val="000C656B"/>
    <w:rsid w:val="000D2A19"/>
    <w:rsid w:val="000D5D6F"/>
    <w:rsid w:val="000E0105"/>
    <w:rsid w:val="000E1148"/>
    <w:rsid w:val="000E21AE"/>
    <w:rsid w:val="000E6604"/>
    <w:rsid w:val="000F04C6"/>
    <w:rsid w:val="000F6C7A"/>
    <w:rsid w:val="001044C6"/>
    <w:rsid w:val="0011059E"/>
    <w:rsid w:val="0011439E"/>
    <w:rsid w:val="00117B3F"/>
    <w:rsid w:val="00124C1B"/>
    <w:rsid w:val="001344E7"/>
    <w:rsid w:val="00163116"/>
    <w:rsid w:val="001712B6"/>
    <w:rsid w:val="001720AA"/>
    <w:rsid w:val="00181B78"/>
    <w:rsid w:val="00186C43"/>
    <w:rsid w:val="0019097D"/>
    <w:rsid w:val="00196A39"/>
    <w:rsid w:val="001A118E"/>
    <w:rsid w:val="001B11B8"/>
    <w:rsid w:val="001D7B9E"/>
    <w:rsid w:val="001E03DC"/>
    <w:rsid w:val="001E597A"/>
    <w:rsid w:val="001E7B45"/>
    <w:rsid w:val="001F32B4"/>
    <w:rsid w:val="001F54B0"/>
    <w:rsid w:val="0020017D"/>
    <w:rsid w:val="0021292B"/>
    <w:rsid w:val="00214018"/>
    <w:rsid w:val="002403FF"/>
    <w:rsid w:val="002459FF"/>
    <w:rsid w:val="00245FFF"/>
    <w:rsid w:val="00255967"/>
    <w:rsid w:val="00270B9F"/>
    <w:rsid w:val="00286184"/>
    <w:rsid w:val="002A024F"/>
    <w:rsid w:val="002A6ED2"/>
    <w:rsid w:val="002A79B2"/>
    <w:rsid w:val="002B0B52"/>
    <w:rsid w:val="002B2844"/>
    <w:rsid w:val="002C14FD"/>
    <w:rsid w:val="002C3AD8"/>
    <w:rsid w:val="002D1BAC"/>
    <w:rsid w:val="002E1817"/>
    <w:rsid w:val="002F2F00"/>
    <w:rsid w:val="002F38C9"/>
    <w:rsid w:val="002F39CB"/>
    <w:rsid w:val="00300F0D"/>
    <w:rsid w:val="00317263"/>
    <w:rsid w:val="00333076"/>
    <w:rsid w:val="00335CEE"/>
    <w:rsid w:val="003362DF"/>
    <w:rsid w:val="00342A31"/>
    <w:rsid w:val="0037653F"/>
    <w:rsid w:val="003801EB"/>
    <w:rsid w:val="003863E7"/>
    <w:rsid w:val="00387519"/>
    <w:rsid w:val="0039229C"/>
    <w:rsid w:val="003A0D8C"/>
    <w:rsid w:val="003A4D2D"/>
    <w:rsid w:val="003B1C18"/>
    <w:rsid w:val="003D4BA6"/>
    <w:rsid w:val="003D6014"/>
    <w:rsid w:val="003E47C8"/>
    <w:rsid w:val="003E7576"/>
    <w:rsid w:val="004008D1"/>
    <w:rsid w:val="00401FE8"/>
    <w:rsid w:val="0041366F"/>
    <w:rsid w:val="004316FD"/>
    <w:rsid w:val="00462A4E"/>
    <w:rsid w:val="00465E78"/>
    <w:rsid w:val="00467440"/>
    <w:rsid w:val="00472AD9"/>
    <w:rsid w:val="0047795F"/>
    <w:rsid w:val="004801C0"/>
    <w:rsid w:val="00486FEE"/>
    <w:rsid w:val="00495011"/>
    <w:rsid w:val="004A08A1"/>
    <w:rsid w:val="004A2984"/>
    <w:rsid w:val="004C3ED0"/>
    <w:rsid w:val="004C5AFF"/>
    <w:rsid w:val="004D0649"/>
    <w:rsid w:val="004D4366"/>
    <w:rsid w:val="004D7AAF"/>
    <w:rsid w:val="004F1890"/>
    <w:rsid w:val="00505DE9"/>
    <w:rsid w:val="00514D7F"/>
    <w:rsid w:val="0052144E"/>
    <w:rsid w:val="00522890"/>
    <w:rsid w:val="00527E39"/>
    <w:rsid w:val="00545C88"/>
    <w:rsid w:val="005469CF"/>
    <w:rsid w:val="005502A0"/>
    <w:rsid w:val="00554AC8"/>
    <w:rsid w:val="00561884"/>
    <w:rsid w:val="0056748B"/>
    <w:rsid w:val="00574E4C"/>
    <w:rsid w:val="005916EF"/>
    <w:rsid w:val="00592ABA"/>
    <w:rsid w:val="005969EB"/>
    <w:rsid w:val="005A21A3"/>
    <w:rsid w:val="005A7AEB"/>
    <w:rsid w:val="005E0E1D"/>
    <w:rsid w:val="005F5168"/>
    <w:rsid w:val="0060469C"/>
    <w:rsid w:val="006147BA"/>
    <w:rsid w:val="00625084"/>
    <w:rsid w:val="00641115"/>
    <w:rsid w:val="006468E0"/>
    <w:rsid w:val="006639A8"/>
    <w:rsid w:val="00665331"/>
    <w:rsid w:val="00673FD9"/>
    <w:rsid w:val="00693D24"/>
    <w:rsid w:val="006A3229"/>
    <w:rsid w:val="006A5268"/>
    <w:rsid w:val="006B0950"/>
    <w:rsid w:val="006B3847"/>
    <w:rsid w:val="006B60A3"/>
    <w:rsid w:val="006C1842"/>
    <w:rsid w:val="006E23ED"/>
    <w:rsid w:val="006E691C"/>
    <w:rsid w:val="006F0116"/>
    <w:rsid w:val="006F49F2"/>
    <w:rsid w:val="006F4BD9"/>
    <w:rsid w:val="00711D3D"/>
    <w:rsid w:val="00712639"/>
    <w:rsid w:val="007127BF"/>
    <w:rsid w:val="00724D2D"/>
    <w:rsid w:val="0072512D"/>
    <w:rsid w:val="00726321"/>
    <w:rsid w:val="00752EA5"/>
    <w:rsid w:val="0075769C"/>
    <w:rsid w:val="007608B7"/>
    <w:rsid w:val="00760F9A"/>
    <w:rsid w:val="00783395"/>
    <w:rsid w:val="00796420"/>
    <w:rsid w:val="007A0F0A"/>
    <w:rsid w:val="007A0FB1"/>
    <w:rsid w:val="007B236E"/>
    <w:rsid w:val="007C76E2"/>
    <w:rsid w:val="007D2D1A"/>
    <w:rsid w:val="007D41B8"/>
    <w:rsid w:val="007D4AC0"/>
    <w:rsid w:val="007E0657"/>
    <w:rsid w:val="007E3FEC"/>
    <w:rsid w:val="007E5F74"/>
    <w:rsid w:val="007F1133"/>
    <w:rsid w:val="007F5CC0"/>
    <w:rsid w:val="00805ED5"/>
    <w:rsid w:val="008106DE"/>
    <w:rsid w:val="0081499F"/>
    <w:rsid w:val="008206F4"/>
    <w:rsid w:val="00830480"/>
    <w:rsid w:val="00835221"/>
    <w:rsid w:val="0084168B"/>
    <w:rsid w:val="00841B9C"/>
    <w:rsid w:val="00846146"/>
    <w:rsid w:val="00847DDC"/>
    <w:rsid w:val="0085513C"/>
    <w:rsid w:val="008611E4"/>
    <w:rsid w:val="00861B33"/>
    <w:rsid w:val="00865A53"/>
    <w:rsid w:val="008665AF"/>
    <w:rsid w:val="00866D00"/>
    <w:rsid w:val="00871520"/>
    <w:rsid w:val="00875340"/>
    <w:rsid w:val="00886B3A"/>
    <w:rsid w:val="008A5FB0"/>
    <w:rsid w:val="008A68D1"/>
    <w:rsid w:val="008B1A0E"/>
    <w:rsid w:val="008D4AB5"/>
    <w:rsid w:val="008D5778"/>
    <w:rsid w:val="008E1EDD"/>
    <w:rsid w:val="008E7B81"/>
    <w:rsid w:val="008F05F4"/>
    <w:rsid w:val="008F7E8D"/>
    <w:rsid w:val="00902C40"/>
    <w:rsid w:val="0090399F"/>
    <w:rsid w:val="009113EF"/>
    <w:rsid w:val="009145EB"/>
    <w:rsid w:val="0091756A"/>
    <w:rsid w:val="00917A17"/>
    <w:rsid w:val="0092521D"/>
    <w:rsid w:val="009374E7"/>
    <w:rsid w:val="00945FAE"/>
    <w:rsid w:val="00962867"/>
    <w:rsid w:val="009629AC"/>
    <w:rsid w:val="00966524"/>
    <w:rsid w:val="00986607"/>
    <w:rsid w:val="009A095D"/>
    <w:rsid w:val="009B2093"/>
    <w:rsid w:val="009B5A19"/>
    <w:rsid w:val="009B5DF2"/>
    <w:rsid w:val="009C7019"/>
    <w:rsid w:val="009D530F"/>
    <w:rsid w:val="009F1080"/>
    <w:rsid w:val="00A013C7"/>
    <w:rsid w:val="00A0595F"/>
    <w:rsid w:val="00A1021E"/>
    <w:rsid w:val="00A15E13"/>
    <w:rsid w:val="00A15F52"/>
    <w:rsid w:val="00A274A3"/>
    <w:rsid w:val="00A4420B"/>
    <w:rsid w:val="00A5333C"/>
    <w:rsid w:val="00A55F63"/>
    <w:rsid w:val="00A606F6"/>
    <w:rsid w:val="00A7103E"/>
    <w:rsid w:val="00A73492"/>
    <w:rsid w:val="00A73B79"/>
    <w:rsid w:val="00A922CE"/>
    <w:rsid w:val="00A93744"/>
    <w:rsid w:val="00A950EA"/>
    <w:rsid w:val="00AA4817"/>
    <w:rsid w:val="00AB6D32"/>
    <w:rsid w:val="00AD1192"/>
    <w:rsid w:val="00AD482B"/>
    <w:rsid w:val="00AE11A2"/>
    <w:rsid w:val="00AE70CC"/>
    <w:rsid w:val="00B0419E"/>
    <w:rsid w:val="00B07907"/>
    <w:rsid w:val="00B11C0D"/>
    <w:rsid w:val="00B241C5"/>
    <w:rsid w:val="00B50682"/>
    <w:rsid w:val="00B53B81"/>
    <w:rsid w:val="00B5555F"/>
    <w:rsid w:val="00B62DB5"/>
    <w:rsid w:val="00B71317"/>
    <w:rsid w:val="00B7502E"/>
    <w:rsid w:val="00B761ED"/>
    <w:rsid w:val="00B80096"/>
    <w:rsid w:val="00B830FE"/>
    <w:rsid w:val="00BA1571"/>
    <w:rsid w:val="00BA3C9D"/>
    <w:rsid w:val="00BA7A8D"/>
    <w:rsid w:val="00BB3147"/>
    <w:rsid w:val="00BC040C"/>
    <w:rsid w:val="00BC38F9"/>
    <w:rsid w:val="00BD25FE"/>
    <w:rsid w:val="00BF1E14"/>
    <w:rsid w:val="00BF22A9"/>
    <w:rsid w:val="00BF4413"/>
    <w:rsid w:val="00C0020A"/>
    <w:rsid w:val="00C00C48"/>
    <w:rsid w:val="00C03F25"/>
    <w:rsid w:val="00C11E97"/>
    <w:rsid w:val="00C37242"/>
    <w:rsid w:val="00C44723"/>
    <w:rsid w:val="00C46C46"/>
    <w:rsid w:val="00C50E95"/>
    <w:rsid w:val="00C5690D"/>
    <w:rsid w:val="00C96B6C"/>
    <w:rsid w:val="00CA00A5"/>
    <w:rsid w:val="00CA2BD4"/>
    <w:rsid w:val="00CA621A"/>
    <w:rsid w:val="00CB76C3"/>
    <w:rsid w:val="00CB76E7"/>
    <w:rsid w:val="00CD1C19"/>
    <w:rsid w:val="00CE31EC"/>
    <w:rsid w:val="00CF142C"/>
    <w:rsid w:val="00CF58D3"/>
    <w:rsid w:val="00CF5F9E"/>
    <w:rsid w:val="00D0246F"/>
    <w:rsid w:val="00D03D69"/>
    <w:rsid w:val="00D13A53"/>
    <w:rsid w:val="00D24666"/>
    <w:rsid w:val="00D345A6"/>
    <w:rsid w:val="00D37C87"/>
    <w:rsid w:val="00D45901"/>
    <w:rsid w:val="00D50878"/>
    <w:rsid w:val="00D55280"/>
    <w:rsid w:val="00D558D9"/>
    <w:rsid w:val="00D671D4"/>
    <w:rsid w:val="00D71874"/>
    <w:rsid w:val="00D77FBA"/>
    <w:rsid w:val="00D81B6A"/>
    <w:rsid w:val="00D93173"/>
    <w:rsid w:val="00D97F2E"/>
    <w:rsid w:val="00DA1747"/>
    <w:rsid w:val="00DA237B"/>
    <w:rsid w:val="00DA327D"/>
    <w:rsid w:val="00DA4419"/>
    <w:rsid w:val="00DA6F03"/>
    <w:rsid w:val="00DC5359"/>
    <w:rsid w:val="00DE1150"/>
    <w:rsid w:val="00E0045E"/>
    <w:rsid w:val="00E24A30"/>
    <w:rsid w:val="00E27DED"/>
    <w:rsid w:val="00E3735E"/>
    <w:rsid w:val="00E4348E"/>
    <w:rsid w:val="00E600A9"/>
    <w:rsid w:val="00E62A14"/>
    <w:rsid w:val="00E822F5"/>
    <w:rsid w:val="00E82573"/>
    <w:rsid w:val="00E84378"/>
    <w:rsid w:val="00E91FA7"/>
    <w:rsid w:val="00EB4220"/>
    <w:rsid w:val="00EC58EE"/>
    <w:rsid w:val="00EC7F32"/>
    <w:rsid w:val="00ED161D"/>
    <w:rsid w:val="00ED1E8C"/>
    <w:rsid w:val="00ED245C"/>
    <w:rsid w:val="00EF31D6"/>
    <w:rsid w:val="00F10B73"/>
    <w:rsid w:val="00F13962"/>
    <w:rsid w:val="00F200DD"/>
    <w:rsid w:val="00F220F1"/>
    <w:rsid w:val="00F35809"/>
    <w:rsid w:val="00F35D66"/>
    <w:rsid w:val="00F44AD3"/>
    <w:rsid w:val="00F44DD3"/>
    <w:rsid w:val="00F55FDF"/>
    <w:rsid w:val="00F61E52"/>
    <w:rsid w:val="00F76998"/>
    <w:rsid w:val="00F82524"/>
    <w:rsid w:val="00F9752B"/>
    <w:rsid w:val="00FC1363"/>
    <w:rsid w:val="00FE4734"/>
    <w:rsid w:val="01C03F6D"/>
    <w:rsid w:val="02721E6A"/>
    <w:rsid w:val="063D3190"/>
    <w:rsid w:val="0B5A0421"/>
    <w:rsid w:val="0C2105CC"/>
    <w:rsid w:val="0C8D01D8"/>
    <w:rsid w:val="10750BB4"/>
    <w:rsid w:val="16254708"/>
    <w:rsid w:val="16346880"/>
    <w:rsid w:val="16A32C13"/>
    <w:rsid w:val="16D8525A"/>
    <w:rsid w:val="180A5D54"/>
    <w:rsid w:val="1B3033FE"/>
    <w:rsid w:val="1D954F84"/>
    <w:rsid w:val="1F617FC4"/>
    <w:rsid w:val="20C913F3"/>
    <w:rsid w:val="25382DC5"/>
    <w:rsid w:val="25A32EE2"/>
    <w:rsid w:val="2AEB1631"/>
    <w:rsid w:val="2B365CF2"/>
    <w:rsid w:val="2E380D64"/>
    <w:rsid w:val="30FC582B"/>
    <w:rsid w:val="329C1A89"/>
    <w:rsid w:val="32C86D5A"/>
    <w:rsid w:val="33403369"/>
    <w:rsid w:val="334E019F"/>
    <w:rsid w:val="349B7378"/>
    <w:rsid w:val="35C0683E"/>
    <w:rsid w:val="392A42BD"/>
    <w:rsid w:val="3CC01353"/>
    <w:rsid w:val="3DE44816"/>
    <w:rsid w:val="3E987971"/>
    <w:rsid w:val="40DC2E39"/>
    <w:rsid w:val="425A0F24"/>
    <w:rsid w:val="433512C8"/>
    <w:rsid w:val="451A6C4B"/>
    <w:rsid w:val="45F97401"/>
    <w:rsid w:val="47DC669A"/>
    <w:rsid w:val="485055A5"/>
    <w:rsid w:val="4AA44335"/>
    <w:rsid w:val="4DC52CAF"/>
    <w:rsid w:val="4E4D53F9"/>
    <w:rsid w:val="539B3C3E"/>
    <w:rsid w:val="53B52941"/>
    <w:rsid w:val="53F359BC"/>
    <w:rsid w:val="567F6E81"/>
    <w:rsid w:val="57E31C57"/>
    <w:rsid w:val="5AC20445"/>
    <w:rsid w:val="5B500128"/>
    <w:rsid w:val="5D040209"/>
    <w:rsid w:val="5D4076AF"/>
    <w:rsid w:val="5FB07BC2"/>
    <w:rsid w:val="60D72C50"/>
    <w:rsid w:val="62DC2ED6"/>
    <w:rsid w:val="63440A16"/>
    <w:rsid w:val="635977FB"/>
    <w:rsid w:val="650702E3"/>
    <w:rsid w:val="662C71A3"/>
    <w:rsid w:val="68BA1FEE"/>
    <w:rsid w:val="69F126EE"/>
    <w:rsid w:val="6C480AAB"/>
    <w:rsid w:val="6C764F58"/>
    <w:rsid w:val="6F706FFD"/>
    <w:rsid w:val="6FB67BF8"/>
    <w:rsid w:val="70F438F7"/>
    <w:rsid w:val="716A73A6"/>
    <w:rsid w:val="753657A0"/>
    <w:rsid w:val="75832C61"/>
    <w:rsid w:val="76B655A3"/>
    <w:rsid w:val="7AC6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宋体"/>
      <w:color w:val="000000"/>
      <w:szCs w:val="18"/>
      <w:lang w:val="en-US" w:eastAsia="en-US" w:bidi="en-US"/>
    </w:rPr>
  </w:style>
  <w:style w:type="paragraph" w:styleId="2">
    <w:name w:val="heading 1"/>
    <w:next w:val="1"/>
    <w:link w:val="33"/>
    <w:qFormat/>
    <w:uiPriority w:val="0"/>
    <w:pPr>
      <w:keepNext/>
      <w:keepLines/>
      <w:spacing w:after="111" w:line="259" w:lineRule="auto"/>
      <w:ind w:left="10" w:hanging="10"/>
      <w:jc w:val="center"/>
      <w:outlineLvl w:val="0"/>
    </w:pPr>
    <w:rPr>
      <w:rFonts w:ascii="仿宋" w:hAnsi="仿宋" w:eastAsia="仿宋" w:cs="仿宋"/>
      <w:color w:val="000000"/>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32"/>
    <w:unhideWhenUsed/>
    <w:qFormat/>
    <w:uiPriority w:val="99"/>
    <w:pPr>
      <w:tabs>
        <w:tab w:val="center" w:pos="4153"/>
        <w:tab w:val="right" w:pos="8306"/>
      </w:tabs>
      <w:snapToGrid w:val="0"/>
    </w:pPr>
    <w:rPr>
      <w:sz w:val="18"/>
    </w:rPr>
  </w:style>
  <w:style w:type="paragraph" w:styleId="4">
    <w:name w:val="header"/>
    <w:basedOn w:val="1"/>
    <w:link w:val="31"/>
    <w:unhideWhenUsed/>
    <w:qFormat/>
    <w:uiPriority w:val="99"/>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Autospacing="1" w:after="100" w:afterAutospacing="1"/>
    </w:pPr>
    <w:rPr>
      <w:rFonts w:ascii="宋体" w:hAnsi="宋体"/>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Heading #1|1_"/>
    <w:basedOn w:val="8"/>
    <w:link w:val="12"/>
    <w:qFormat/>
    <w:uiPriority w:val="0"/>
    <w:rPr>
      <w:rFonts w:ascii="宋体" w:hAnsi="宋体" w:eastAsia="宋体" w:cs="宋体"/>
      <w:sz w:val="38"/>
      <w:szCs w:val="38"/>
      <w:u w:val="none"/>
      <w:shd w:val="clear" w:color="auto" w:fill="auto"/>
      <w:lang w:val="zh-TW" w:eastAsia="zh-TW" w:bidi="zh-TW"/>
    </w:rPr>
  </w:style>
  <w:style w:type="paragraph" w:customStyle="1" w:styleId="12">
    <w:name w:val="Heading #1|1"/>
    <w:basedOn w:val="1"/>
    <w:link w:val="11"/>
    <w:qFormat/>
    <w:uiPriority w:val="0"/>
    <w:pPr>
      <w:spacing w:before="920" w:after="240" w:line="593" w:lineRule="exact"/>
      <w:jc w:val="center"/>
      <w:outlineLvl w:val="0"/>
    </w:pPr>
    <w:rPr>
      <w:rFonts w:ascii="宋体" w:hAnsi="宋体"/>
      <w:sz w:val="38"/>
      <w:szCs w:val="38"/>
      <w:lang w:val="zh-TW" w:eastAsia="zh-TW" w:bidi="zh-TW"/>
    </w:rPr>
  </w:style>
  <w:style w:type="character" w:customStyle="1" w:styleId="13">
    <w:name w:val="Body text|1_"/>
    <w:basedOn w:val="8"/>
    <w:link w:val="14"/>
    <w:qFormat/>
    <w:uiPriority w:val="0"/>
    <w:rPr>
      <w:rFonts w:ascii="宋体" w:hAnsi="宋体" w:eastAsia="宋体" w:cs="宋体"/>
      <w:sz w:val="18"/>
      <w:szCs w:val="18"/>
      <w:u w:val="none"/>
      <w:shd w:val="clear" w:color="auto" w:fill="auto"/>
      <w:lang w:val="zh-TW" w:eastAsia="zh-TW" w:bidi="zh-TW"/>
    </w:rPr>
  </w:style>
  <w:style w:type="paragraph" w:customStyle="1" w:styleId="14">
    <w:name w:val="Body text|1"/>
    <w:basedOn w:val="1"/>
    <w:link w:val="13"/>
    <w:qFormat/>
    <w:uiPriority w:val="0"/>
    <w:pPr>
      <w:spacing w:line="360" w:lineRule="auto"/>
      <w:ind w:firstLine="400"/>
    </w:pPr>
    <w:rPr>
      <w:rFonts w:ascii="宋体" w:hAnsi="宋体"/>
      <w:sz w:val="18"/>
      <w:lang w:val="zh-TW" w:eastAsia="zh-TW" w:bidi="zh-TW"/>
    </w:rPr>
  </w:style>
  <w:style w:type="character" w:customStyle="1" w:styleId="15">
    <w:name w:val="Header or footer|2_"/>
    <w:basedOn w:val="8"/>
    <w:link w:val="16"/>
    <w:qFormat/>
    <w:uiPriority w:val="0"/>
    <w:rPr>
      <w:sz w:val="20"/>
      <w:szCs w:val="20"/>
      <w:u w:val="none"/>
      <w:shd w:val="clear" w:color="auto" w:fill="auto"/>
      <w:lang w:val="zh-TW" w:eastAsia="zh-TW" w:bidi="zh-TW"/>
    </w:rPr>
  </w:style>
  <w:style w:type="paragraph" w:customStyle="1" w:styleId="16">
    <w:name w:val="Header or footer|2"/>
    <w:basedOn w:val="1"/>
    <w:link w:val="15"/>
    <w:qFormat/>
    <w:uiPriority w:val="0"/>
    <w:rPr>
      <w:szCs w:val="20"/>
      <w:lang w:val="zh-TW" w:eastAsia="zh-TW" w:bidi="zh-TW"/>
    </w:rPr>
  </w:style>
  <w:style w:type="character" w:customStyle="1" w:styleId="17">
    <w:name w:val="Heading #2|1_"/>
    <w:basedOn w:val="8"/>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Heading #2|1"/>
    <w:basedOn w:val="1"/>
    <w:link w:val="17"/>
    <w:qFormat/>
    <w:uiPriority w:val="0"/>
    <w:pPr>
      <w:spacing w:after="300"/>
      <w:jc w:val="center"/>
      <w:outlineLvl w:val="1"/>
    </w:pPr>
    <w:rPr>
      <w:rFonts w:ascii="宋体" w:hAnsi="宋体"/>
      <w:sz w:val="28"/>
      <w:szCs w:val="28"/>
      <w:lang w:val="zh-TW" w:eastAsia="zh-TW" w:bidi="zh-TW"/>
    </w:rPr>
  </w:style>
  <w:style w:type="character" w:customStyle="1" w:styleId="19">
    <w:name w:val="Other|1_"/>
    <w:basedOn w:val="8"/>
    <w:link w:val="20"/>
    <w:qFormat/>
    <w:uiPriority w:val="0"/>
    <w:rPr>
      <w:rFonts w:ascii="宋体" w:hAnsi="宋体" w:eastAsia="宋体" w:cs="宋体"/>
      <w:sz w:val="18"/>
      <w:szCs w:val="18"/>
      <w:u w:val="none"/>
      <w:shd w:val="clear" w:color="auto" w:fill="auto"/>
      <w:lang w:val="zh-TW" w:eastAsia="zh-TW" w:bidi="zh-TW"/>
    </w:rPr>
  </w:style>
  <w:style w:type="paragraph" w:customStyle="1" w:styleId="20">
    <w:name w:val="Other|1"/>
    <w:basedOn w:val="1"/>
    <w:link w:val="19"/>
    <w:qFormat/>
    <w:uiPriority w:val="0"/>
    <w:pPr>
      <w:spacing w:line="360" w:lineRule="auto"/>
      <w:ind w:firstLine="400"/>
    </w:pPr>
    <w:rPr>
      <w:rFonts w:ascii="宋体" w:hAnsi="宋体"/>
      <w:sz w:val="18"/>
      <w:lang w:val="zh-TW" w:eastAsia="zh-TW" w:bidi="zh-TW"/>
    </w:rPr>
  </w:style>
  <w:style w:type="character" w:customStyle="1" w:styleId="21">
    <w:name w:val="Body text|3_"/>
    <w:basedOn w:val="8"/>
    <w:link w:val="22"/>
    <w:qFormat/>
    <w:uiPriority w:val="0"/>
    <w:rPr>
      <w:rFonts w:ascii="宋体" w:hAnsi="宋体" w:eastAsia="宋体" w:cs="宋体"/>
      <w:sz w:val="22"/>
      <w:szCs w:val="22"/>
      <w:u w:val="none"/>
      <w:shd w:val="clear" w:color="auto" w:fill="auto"/>
      <w:lang w:val="zh-TW" w:eastAsia="zh-TW" w:bidi="zh-TW"/>
    </w:rPr>
  </w:style>
  <w:style w:type="paragraph" w:customStyle="1" w:styleId="22">
    <w:name w:val="Body text|3"/>
    <w:basedOn w:val="1"/>
    <w:link w:val="21"/>
    <w:qFormat/>
    <w:uiPriority w:val="0"/>
    <w:pPr>
      <w:spacing w:after="320"/>
    </w:pPr>
    <w:rPr>
      <w:rFonts w:ascii="宋体" w:hAnsi="宋体"/>
      <w:sz w:val="22"/>
      <w:szCs w:val="22"/>
      <w:lang w:val="zh-TW" w:eastAsia="zh-TW" w:bidi="zh-TW"/>
    </w:rPr>
  </w:style>
  <w:style w:type="character" w:customStyle="1" w:styleId="23">
    <w:name w:val="Header or footer|1_"/>
    <w:basedOn w:val="8"/>
    <w:link w:val="24"/>
    <w:qFormat/>
    <w:uiPriority w:val="0"/>
    <w:rPr>
      <w:sz w:val="20"/>
      <w:szCs w:val="20"/>
      <w:u w:val="none"/>
      <w:shd w:val="clear" w:color="auto" w:fill="auto"/>
    </w:rPr>
  </w:style>
  <w:style w:type="paragraph" w:customStyle="1" w:styleId="24">
    <w:name w:val="Header or footer|1"/>
    <w:basedOn w:val="1"/>
    <w:link w:val="23"/>
    <w:qFormat/>
    <w:uiPriority w:val="0"/>
    <w:rPr>
      <w:szCs w:val="20"/>
    </w:rPr>
  </w:style>
  <w:style w:type="character" w:customStyle="1" w:styleId="25">
    <w:name w:val="Table caption|1_"/>
    <w:basedOn w:val="8"/>
    <w:link w:val="26"/>
    <w:qFormat/>
    <w:uiPriority w:val="0"/>
    <w:rPr>
      <w:rFonts w:ascii="宋体" w:hAnsi="宋体" w:eastAsia="宋体" w:cs="宋体"/>
      <w:sz w:val="18"/>
      <w:szCs w:val="18"/>
      <w:u w:val="none"/>
      <w:shd w:val="clear" w:color="auto" w:fill="auto"/>
      <w:lang w:val="zh-TW" w:eastAsia="zh-TW" w:bidi="zh-TW"/>
    </w:rPr>
  </w:style>
  <w:style w:type="paragraph" w:customStyle="1" w:styleId="26">
    <w:name w:val="Table caption|1"/>
    <w:basedOn w:val="1"/>
    <w:link w:val="25"/>
    <w:qFormat/>
    <w:uiPriority w:val="0"/>
    <w:pPr>
      <w:jc w:val="center"/>
    </w:pPr>
    <w:rPr>
      <w:rFonts w:ascii="宋体" w:hAnsi="宋体"/>
      <w:sz w:val="18"/>
      <w:lang w:val="zh-TW" w:eastAsia="zh-TW" w:bidi="zh-TW"/>
    </w:rPr>
  </w:style>
  <w:style w:type="character" w:customStyle="1" w:styleId="27">
    <w:name w:val="Body text|2_"/>
    <w:basedOn w:val="8"/>
    <w:link w:val="28"/>
    <w:qFormat/>
    <w:uiPriority w:val="0"/>
    <w:rPr>
      <w:sz w:val="20"/>
      <w:szCs w:val="20"/>
      <w:u w:val="none"/>
      <w:shd w:val="clear" w:color="auto" w:fill="auto"/>
      <w:lang w:val="zh-TW" w:eastAsia="zh-TW" w:bidi="zh-TW"/>
    </w:rPr>
  </w:style>
  <w:style w:type="paragraph" w:customStyle="1" w:styleId="28">
    <w:name w:val="Body text|2"/>
    <w:basedOn w:val="1"/>
    <w:link w:val="27"/>
    <w:qFormat/>
    <w:uiPriority w:val="0"/>
    <w:pPr>
      <w:spacing w:after="180" w:line="317" w:lineRule="auto"/>
      <w:jc w:val="center"/>
    </w:pPr>
    <w:rPr>
      <w:szCs w:val="20"/>
      <w:lang w:val="zh-TW" w:eastAsia="zh-TW" w:bidi="zh-TW"/>
    </w:rPr>
  </w:style>
  <w:style w:type="character" w:customStyle="1" w:styleId="29">
    <w:name w:val="Picture caption|1_"/>
    <w:basedOn w:val="8"/>
    <w:link w:val="30"/>
    <w:qFormat/>
    <w:uiPriority w:val="0"/>
    <w:rPr>
      <w:rFonts w:ascii="宋体" w:hAnsi="宋体" w:eastAsia="宋体" w:cs="宋体"/>
      <w:sz w:val="17"/>
      <w:szCs w:val="17"/>
      <w:u w:val="none"/>
      <w:shd w:val="clear" w:color="auto" w:fill="auto"/>
      <w:lang w:val="zh-TW" w:eastAsia="zh-TW" w:bidi="zh-TW"/>
    </w:rPr>
  </w:style>
  <w:style w:type="paragraph" w:customStyle="1" w:styleId="30">
    <w:name w:val="Picture caption|1"/>
    <w:basedOn w:val="1"/>
    <w:link w:val="29"/>
    <w:qFormat/>
    <w:uiPriority w:val="0"/>
    <w:rPr>
      <w:rFonts w:ascii="宋体" w:hAnsi="宋体"/>
      <w:sz w:val="17"/>
      <w:szCs w:val="17"/>
      <w:lang w:val="zh-TW" w:eastAsia="zh-TW" w:bidi="zh-TW"/>
    </w:rPr>
  </w:style>
  <w:style w:type="character" w:customStyle="1" w:styleId="31">
    <w:name w:val="页眉 字符"/>
    <w:basedOn w:val="8"/>
    <w:link w:val="4"/>
    <w:qFormat/>
    <w:uiPriority w:val="99"/>
    <w:rPr>
      <w:rFonts w:eastAsia="Times New Roman"/>
      <w:color w:val="000000"/>
      <w:sz w:val="18"/>
      <w:szCs w:val="18"/>
    </w:rPr>
  </w:style>
  <w:style w:type="character" w:customStyle="1" w:styleId="32">
    <w:name w:val="页脚 字符"/>
    <w:basedOn w:val="8"/>
    <w:link w:val="3"/>
    <w:qFormat/>
    <w:uiPriority w:val="99"/>
    <w:rPr>
      <w:rFonts w:eastAsia="Times New Roman"/>
      <w:color w:val="000000"/>
      <w:sz w:val="18"/>
      <w:szCs w:val="18"/>
    </w:rPr>
  </w:style>
  <w:style w:type="character" w:customStyle="1" w:styleId="33">
    <w:name w:val="标题 1 字符"/>
    <w:basedOn w:val="8"/>
    <w:link w:val="2"/>
    <w:qFormat/>
    <w:uiPriority w:val="0"/>
    <w:rPr>
      <w:rFonts w:ascii="仿宋" w:hAnsi="仿宋" w:eastAsia="仿宋" w:cs="仿宋"/>
      <w:color w:val="000000"/>
      <w:kern w:val="2"/>
      <w:sz w:val="32"/>
      <w:szCs w:val="22"/>
      <w:lang w:eastAsia="zh-CN" w:bidi="ar-SA"/>
    </w:rPr>
  </w:style>
  <w:style w:type="character" w:customStyle="1" w:styleId="34">
    <w:name w:val="未处理的提及1"/>
    <w:basedOn w:val="8"/>
    <w:semiHidden/>
    <w:unhideWhenUsed/>
    <w:qFormat/>
    <w:uiPriority w:val="99"/>
    <w:rPr>
      <w:color w:val="605E5C"/>
      <w:shd w:val="clear" w:color="auto" w:fill="E1DFDD"/>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2.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footer" Target="footer5.xml"/><Relationship Id="rId89" Type="http://schemas.openxmlformats.org/officeDocument/2006/relationships/image" Target="media/image1.jpeg"/><Relationship Id="rId88" Type="http://schemas.openxmlformats.org/officeDocument/2006/relationships/theme" Target="theme/theme1.xml"/><Relationship Id="rId87" Type="http://schemas.openxmlformats.org/officeDocument/2006/relationships/footer" Target="footer46.xml"/><Relationship Id="rId86" Type="http://schemas.openxmlformats.org/officeDocument/2006/relationships/footer" Target="footer45.xml"/><Relationship Id="rId85" Type="http://schemas.openxmlformats.org/officeDocument/2006/relationships/header" Target="header37.xml"/><Relationship Id="rId84" Type="http://schemas.openxmlformats.org/officeDocument/2006/relationships/header" Target="header36.xml"/><Relationship Id="rId83" Type="http://schemas.openxmlformats.org/officeDocument/2006/relationships/footer" Target="footer44.xml"/><Relationship Id="rId82" Type="http://schemas.openxmlformats.org/officeDocument/2006/relationships/footer" Target="footer43.xml"/><Relationship Id="rId81" Type="http://schemas.openxmlformats.org/officeDocument/2006/relationships/header" Target="header35.xml"/><Relationship Id="rId80" Type="http://schemas.openxmlformats.org/officeDocument/2006/relationships/header" Target="header34.xml"/><Relationship Id="rId8" Type="http://schemas.openxmlformats.org/officeDocument/2006/relationships/footer" Target="footer4.xml"/><Relationship Id="rId79" Type="http://schemas.openxmlformats.org/officeDocument/2006/relationships/footer" Target="footer42.xml"/><Relationship Id="rId78" Type="http://schemas.openxmlformats.org/officeDocument/2006/relationships/footer" Target="footer41.xml"/><Relationship Id="rId77" Type="http://schemas.openxmlformats.org/officeDocument/2006/relationships/footer" Target="footer40.xml"/><Relationship Id="rId76" Type="http://schemas.openxmlformats.org/officeDocument/2006/relationships/header" Target="header33.xml"/><Relationship Id="rId75" Type="http://schemas.openxmlformats.org/officeDocument/2006/relationships/header" Target="header32.xml"/><Relationship Id="rId74" Type="http://schemas.openxmlformats.org/officeDocument/2006/relationships/header" Target="header31.xml"/><Relationship Id="rId73" Type="http://schemas.openxmlformats.org/officeDocument/2006/relationships/footer" Target="footer39.xml"/><Relationship Id="rId72" Type="http://schemas.openxmlformats.org/officeDocument/2006/relationships/footer" Target="footer38.xml"/><Relationship Id="rId71" Type="http://schemas.openxmlformats.org/officeDocument/2006/relationships/footer" Target="footer37.xml"/><Relationship Id="rId70" Type="http://schemas.openxmlformats.org/officeDocument/2006/relationships/header" Target="header30.xml"/><Relationship Id="rId7" Type="http://schemas.openxmlformats.org/officeDocument/2006/relationships/footer" Target="footer3.xml"/><Relationship Id="rId69" Type="http://schemas.openxmlformats.org/officeDocument/2006/relationships/header" Target="header29.xml"/><Relationship Id="rId68" Type="http://schemas.openxmlformats.org/officeDocument/2006/relationships/header" Target="header28.xml"/><Relationship Id="rId67" Type="http://schemas.openxmlformats.org/officeDocument/2006/relationships/footer" Target="footer36.xml"/><Relationship Id="rId66" Type="http://schemas.openxmlformats.org/officeDocument/2006/relationships/footer" Target="footer35.xml"/><Relationship Id="rId65" Type="http://schemas.openxmlformats.org/officeDocument/2006/relationships/header" Target="header27.xml"/><Relationship Id="rId64" Type="http://schemas.openxmlformats.org/officeDocument/2006/relationships/header" Target="header26.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header" Target="header25.xml"/><Relationship Id="rId60" Type="http://schemas.openxmlformats.org/officeDocument/2006/relationships/header" Target="header24.xml"/><Relationship Id="rId6" Type="http://schemas.openxmlformats.org/officeDocument/2006/relationships/footer" Target="footer2.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footer" Target="footer27.xml"/><Relationship Id="rId5" Type="http://schemas.openxmlformats.org/officeDocument/2006/relationships/footer" Target="footer1.xml"/><Relationship Id="rId49" Type="http://schemas.openxmlformats.org/officeDocument/2006/relationships/header" Target="header19.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header" Target="header16.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header" Target="header13.xml"/><Relationship Id="rId36" Type="http://schemas.openxmlformats.org/officeDocument/2006/relationships/header" Target="header12.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header" Target="header10.xml"/><Relationship Id="rId30" Type="http://schemas.openxmlformats.org/officeDocument/2006/relationships/header" Target="header9.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8.xml"/><Relationship Id="rId26" Type="http://schemas.openxmlformats.org/officeDocument/2006/relationships/header" Target="header7.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6.xml"/><Relationship Id="rId22" Type="http://schemas.openxmlformats.org/officeDocument/2006/relationships/header" Target="header5.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2.xml"/><Relationship Id="rId14" Type="http://schemas.openxmlformats.org/officeDocument/2006/relationships/header" Target="header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831A2-053B-4B5F-8DF6-F3BC1DA87AE9}">
  <ds:schemaRefs/>
</ds:datastoreItem>
</file>

<file path=docProps/app.xml><?xml version="1.0" encoding="utf-8"?>
<Properties xmlns="http://schemas.openxmlformats.org/officeDocument/2006/extended-properties" xmlns:vt="http://schemas.openxmlformats.org/officeDocument/2006/docPropsVTypes">
  <Template>Normal</Template>
  <Pages>120</Pages>
  <Words>97937</Words>
  <Characters>100314</Characters>
  <Lines>743</Lines>
  <Paragraphs>209</Paragraphs>
  <TotalTime>1</TotalTime>
  <ScaleCrop>false</ScaleCrop>
  <LinksUpToDate>false</LinksUpToDate>
  <CharactersWithSpaces>101279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2020-05-27T12:30:00Z</dcterms:created>
  <dc:creator>DELL</dc:creator>
  <cp:lastModifiedBy>H''</cp:lastModifiedBy>
  <cp:lastPrinted>2021-08-21T16:45:00Z</cp:lastPrinted>
  <dcterms:modified xsi:type="dcterms:W3CDTF">2022-08-28T03:46:45Z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FBBB6393D2F340AAB9C164165B86FC90</vt:lpwstr>
  </property>
</Properties>
</file>